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8"/>
        <w:gridCol w:w="3119"/>
      </w:tblGrid>
      <w:tr w:rsidR="007068D4" w14:paraId="4A901BC6" w14:textId="77777777" w:rsidTr="00510A7C">
        <w:trPr>
          <w:trHeight w:val="1141"/>
        </w:trPr>
        <w:tc>
          <w:tcPr>
            <w:tcW w:w="3114" w:type="dxa"/>
            <w:vAlign w:val="center"/>
          </w:tcPr>
          <w:p w14:paraId="7C85021E" w14:textId="77777777" w:rsidR="007068D4" w:rsidRPr="000120DE" w:rsidRDefault="007068D4" w:rsidP="007068D4">
            <w:pPr>
              <w:pStyle w:val="Author"/>
              <w:framePr w:w="9483" w:h="1189" w:hRule="exact" w:hSpace="187" w:vSpace="187" w:wrap="notBeside" w:vAnchor="text" w:hAnchor="page" w:x="1398" w:y="1465"/>
              <w:spacing w:before="240" w:after="0"/>
              <w:rPr>
                <w:sz w:val="18"/>
                <w:szCs w:val="18"/>
              </w:rPr>
            </w:pPr>
            <w:r w:rsidRPr="00F847A6">
              <w:rPr>
                <w:sz w:val="18"/>
                <w:szCs w:val="18"/>
              </w:rPr>
              <w:t>1</w:t>
            </w:r>
            <w:r w:rsidRPr="00F847A6">
              <w:rPr>
                <w:sz w:val="18"/>
                <w:szCs w:val="18"/>
                <w:vertAlign w:val="superscript"/>
              </w:rPr>
              <w:t>st</w:t>
            </w:r>
            <w:r w:rsidRPr="00F847A6">
              <w:rPr>
                <w:sz w:val="18"/>
                <w:szCs w:val="18"/>
              </w:rPr>
              <w:t xml:space="preserve"> </w:t>
            </w:r>
            <w:r>
              <w:t xml:space="preserve"> </w:t>
            </w:r>
            <w:r w:rsidRPr="000120DE">
              <w:rPr>
                <w:sz w:val="18"/>
                <w:szCs w:val="18"/>
              </w:rPr>
              <w:t xml:space="preserve">Le Nguyen Thanh Thuy </w:t>
            </w:r>
            <w:r w:rsidRPr="00F847A6">
              <w:rPr>
                <w:sz w:val="18"/>
                <w:szCs w:val="18"/>
              </w:rPr>
              <w:br/>
            </w:r>
            <w:r>
              <w:t xml:space="preserve"> </w:t>
            </w:r>
            <w:r w:rsidRPr="000120DE">
              <w:rPr>
                <w:i/>
                <w:sz w:val="18"/>
                <w:szCs w:val="18"/>
              </w:rPr>
              <w:t xml:space="preserve">University of Information Technology, VNU-HCM, Vietnam </w:t>
            </w:r>
            <w:r w:rsidRPr="00F847A6">
              <w:rPr>
                <w:sz w:val="18"/>
                <w:szCs w:val="18"/>
              </w:rPr>
              <w:br/>
            </w:r>
            <w:r>
              <w:t xml:space="preserve"> </w:t>
            </w:r>
            <w:r w:rsidRPr="000120DE">
              <w:rPr>
                <w:sz w:val="18"/>
                <w:szCs w:val="18"/>
              </w:rPr>
              <w:t>thuylnt.18@grad.uit.edu.vn</w:t>
            </w:r>
          </w:p>
        </w:tc>
        <w:tc>
          <w:tcPr>
            <w:tcW w:w="3118" w:type="dxa"/>
            <w:vAlign w:val="center"/>
          </w:tcPr>
          <w:p w14:paraId="15AF28EB" w14:textId="77777777" w:rsidR="007068D4" w:rsidRDefault="007068D4" w:rsidP="007068D4">
            <w:pPr>
              <w:pStyle w:val="Authors"/>
              <w:framePr w:w="9483" w:h="1189" w:hRule="exact" w:wrap="notBeside" w:x="1398" w:y="1465"/>
              <w:spacing w:before="240" w:after="0"/>
              <w:rPr>
                <w:rFonts w:ascii="Calibri" w:hAnsi="Calibri"/>
                <w:b/>
              </w:rPr>
            </w:pPr>
            <w:r w:rsidRPr="00F847A6">
              <w:rPr>
                <w:sz w:val="18"/>
                <w:szCs w:val="18"/>
              </w:rPr>
              <w:t>2</w:t>
            </w:r>
            <w:r w:rsidRPr="00F847A6">
              <w:rPr>
                <w:sz w:val="18"/>
                <w:szCs w:val="18"/>
                <w:vertAlign w:val="superscript"/>
              </w:rPr>
              <w:t>nd</w:t>
            </w:r>
            <w:r w:rsidRPr="00F847A6">
              <w:rPr>
                <w:sz w:val="18"/>
                <w:szCs w:val="18"/>
              </w:rPr>
              <w:t xml:space="preserve"> </w:t>
            </w:r>
            <w:r>
              <w:t xml:space="preserve"> </w:t>
            </w:r>
            <w:r w:rsidRPr="000120DE">
              <w:rPr>
                <w:sz w:val="18"/>
                <w:szCs w:val="18"/>
              </w:rPr>
              <w:t xml:space="preserve">Tran Phuong Duy </w:t>
            </w:r>
            <w:r w:rsidRPr="00F847A6">
              <w:rPr>
                <w:sz w:val="18"/>
                <w:szCs w:val="18"/>
              </w:rPr>
              <w:br/>
            </w:r>
            <w:r>
              <w:t xml:space="preserve"> </w:t>
            </w:r>
            <w:r w:rsidRPr="000120DE">
              <w:rPr>
                <w:i/>
                <w:sz w:val="18"/>
                <w:szCs w:val="18"/>
              </w:rPr>
              <w:t xml:space="preserve">University of Information Technology, VNU-HCM, Vietnam </w:t>
            </w:r>
            <w:r w:rsidRPr="00F847A6">
              <w:rPr>
                <w:sz w:val="18"/>
                <w:szCs w:val="18"/>
              </w:rPr>
              <w:br/>
            </w:r>
            <w:r>
              <w:t xml:space="preserve"> </w:t>
            </w:r>
            <w:r w:rsidRPr="000120DE">
              <w:rPr>
                <w:sz w:val="18"/>
                <w:szCs w:val="18"/>
              </w:rPr>
              <w:t>duytp.18@grad.uit.edu.vn</w:t>
            </w:r>
          </w:p>
        </w:tc>
        <w:tc>
          <w:tcPr>
            <w:tcW w:w="3119" w:type="dxa"/>
            <w:vAlign w:val="center"/>
          </w:tcPr>
          <w:p w14:paraId="7BC18820" w14:textId="77777777" w:rsidR="007068D4" w:rsidRDefault="007068D4" w:rsidP="007068D4">
            <w:pPr>
              <w:pStyle w:val="Authors"/>
              <w:framePr w:w="9483" w:h="1189" w:hRule="exact" w:wrap="notBeside" w:x="1398" w:y="1465"/>
              <w:spacing w:before="240" w:after="0"/>
              <w:rPr>
                <w:rFonts w:ascii="Calibri" w:hAnsi="Calibri"/>
                <w:b/>
              </w:rPr>
            </w:pPr>
            <w:r>
              <w:rPr>
                <w:sz w:val="18"/>
                <w:szCs w:val="18"/>
                <w:vertAlign w:val="superscript"/>
              </w:rPr>
              <w:t>3rd</w:t>
            </w:r>
            <w:r w:rsidRPr="00F847A6">
              <w:rPr>
                <w:sz w:val="18"/>
                <w:szCs w:val="18"/>
              </w:rPr>
              <w:t xml:space="preserve"> </w:t>
            </w:r>
            <w:r>
              <w:t xml:space="preserve">  </w:t>
            </w:r>
            <w:r w:rsidRPr="000120DE">
              <w:rPr>
                <w:sz w:val="18"/>
                <w:szCs w:val="18"/>
              </w:rPr>
              <w:t xml:space="preserve">Nguyen Gia Tuan Anh  </w:t>
            </w:r>
            <w:r w:rsidRPr="00F847A6">
              <w:rPr>
                <w:sz w:val="18"/>
                <w:szCs w:val="18"/>
              </w:rPr>
              <w:br/>
            </w:r>
            <w:r>
              <w:t xml:space="preserve"> </w:t>
            </w:r>
            <w:r w:rsidRPr="000120DE">
              <w:rPr>
                <w:i/>
                <w:sz w:val="18"/>
                <w:szCs w:val="18"/>
              </w:rPr>
              <w:t xml:space="preserve">University of Information Technology, VNU-HCM, Vietnam </w:t>
            </w:r>
            <w:r w:rsidRPr="00F847A6">
              <w:rPr>
                <w:sz w:val="18"/>
                <w:szCs w:val="18"/>
              </w:rPr>
              <w:br/>
            </w:r>
            <w:r>
              <w:t xml:space="preserve">  </w:t>
            </w:r>
            <w:r w:rsidRPr="000120DE">
              <w:rPr>
                <w:sz w:val="18"/>
                <w:szCs w:val="18"/>
              </w:rPr>
              <w:t>anhngt@uit.edu.vn</w:t>
            </w:r>
          </w:p>
        </w:tc>
      </w:tr>
    </w:tbl>
    <w:p w14:paraId="1586675B" w14:textId="77777777" w:rsidR="007068D4" w:rsidRPr="00510A7C" w:rsidRDefault="007068D4" w:rsidP="007068D4">
      <w:pPr>
        <w:pStyle w:val="Authors"/>
        <w:framePr w:w="9483" w:h="1189" w:hRule="exact" w:wrap="notBeside" w:x="1398" w:y="1465"/>
        <w:jc w:val="left"/>
        <w:rPr>
          <w:rFonts w:ascii="Calibri" w:hAnsi="Calibri"/>
          <w:b/>
          <w:sz w:val="2"/>
          <w:szCs w:val="2"/>
        </w:rPr>
      </w:pPr>
    </w:p>
    <w:p w14:paraId="1104F04E" w14:textId="1D42C1CC" w:rsidR="001C5E06" w:rsidRPr="00CB654C" w:rsidRDefault="001C5E06">
      <w:pPr>
        <w:pStyle w:val="Text"/>
        <w:ind w:firstLine="0"/>
        <w:rPr>
          <w:rFonts w:ascii="Calibri" w:hAnsi="Calibri"/>
          <w:sz w:val="18"/>
          <w:szCs w:val="18"/>
        </w:rPr>
      </w:pPr>
    </w:p>
    <w:p w14:paraId="05839B62" w14:textId="512D637C" w:rsidR="001C5E06" w:rsidRPr="00CB654C" w:rsidRDefault="009B6F18" w:rsidP="00571CD5">
      <w:pPr>
        <w:pStyle w:val="Title"/>
        <w:framePr w:wrap="notBeside"/>
        <w:rPr>
          <w:rFonts w:ascii="Calibri" w:hAnsi="Calibri"/>
        </w:rPr>
      </w:pPr>
      <w:r w:rsidRPr="009B6F18">
        <w:rPr>
          <w:rFonts w:ascii="Calibri" w:hAnsi="Calibri"/>
        </w:rPr>
        <w:t>Quantitative Analysis of Selected Stocks Based on Time Series Approach</w:t>
      </w:r>
    </w:p>
    <w:p w14:paraId="10ADA3C8" w14:textId="3EBC61E9" w:rsidR="00E63757" w:rsidRPr="00CB654C" w:rsidRDefault="001C5E06" w:rsidP="00400FE2">
      <w:pPr>
        <w:pStyle w:val="Abstract"/>
        <w:spacing w:before="0"/>
        <w:ind w:firstLine="284"/>
        <w:rPr>
          <w:rFonts w:ascii="Calibri" w:hAnsi="Calibri"/>
          <w:i/>
        </w:rPr>
      </w:pPr>
      <w:r w:rsidRPr="00CB654C">
        <w:rPr>
          <w:rFonts w:ascii="Calibri" w:hAnsi="Calibri"/>
          <w:i/>
          <w:iCs/>
        </w:rPr>
        <w:t>Abstract</w:t>
      </w:r>
      <w:r w:rsidR="00400FE2">
        <w:rPr>
          <w:rFonts w:ascii="Calibri" w:hAnsi="Calibri"/>
          <w:i/>
          <w:iCs/>
        </w:rPr>
        <w:t xml:space="preserve"> </w:t>
      </w:r>
      <w:r w:rsidRPr="00CB654C">
        <w:rPr>
          <w:rFonts w:ascii="Calibri" w:hAnsi="Calibri"/>
          <w:i/>
        </w:rPr>
        <w:t>—</w:t>
      </w:r>
      <w:r w:rsidR="00E63757" w:rsidRPr="00CB654C">
        <w:rPr>
          <w:rFonts w:ascii="Calibri" w:hAnsi="Calibri"/>
          <w:i/>
        </w:rPr>
        <w:t xml:space="preserve"> </w:t>
      </w:r>
      <w:r w:rsidR="00FE4B36" w:rsidRPr="00D31797">
        <w:rPr>
          <w:rFonts w:ascii="Calibri" w:hAnsi="Calibri"/>
          <w:i/>
          <w:color w:val="000000" w:themeColor="text1"/>
        </w:rPr>
        <w:t>This study develops a concise quantitative framework for forecasting Vietnamese stock prices by integrating econometric models with technical and fundamental indicators. Using data from 392 HOSE-listed stocks during 2020–2025 (over 45 million data points), the analysis incorporates Multiple Regression, GARCH(1,1), and VAR, along with MA, MACD, RSI, and valuation ratios. Results show that the banking sector leads overall market movements by 2–3 days, while foreign net buying Granger-causes VN-Index returns and explains 22.4% of their variance. The GARCH(1,1) model confirms persistent volatility clustering (α+β=0.95). Back-testing indicates 74.6% and 81.2% directional accuracy for RSI and MACD, with forecast errors (RMSE/MAE) improving by 12–18% over baseline models. These findings demonstrate that combining econometric and indicator-based analysis enhances short-term prediction and supports data-driven investment decisions in emerging markets</w:t>
      </w:r>
      <w:r w:rsidR="00894A1E" w:rsidRPr="00D31797">
        <w:rPr>
          <w:rFonts w:ascii="Calibri" w:hAnsi="Calibri"/>
          <w:i/>
          <w:color w:val="000000" w:themeColor="text1"/>
        </w:rPr>
        <w:t>.</w:t>
      </w:r>
    </w:p>
    <w:p w14:paraId="7070F21D" w14:textId="77777777" w:rsidR="001C5E06" w:rsidRPr="00CB654C" w:rsidRDefault="001C5E06">
      <w:pPr>
        <w:rPr>
          <w:rFonts w:ascii="Calibri" w:hAnsi="Calibri"/>
        </w:rPr>
      </w:pPr>
    </w:p>
    <w:p w14:paraId="38054729" w14:textId="57EBB4F5" w:rsidR="001C5E06" w:rsidRPr="00CB654C" w:rsidRDefault="00FB2F39">
      <w:pPr>
        <w:pStyle w:val="IndexTerms"/>
        <w:rPr>
          <w:rFonts w:ascii="Calibri" w:hAnsi="Calibri"/>
        </w:rPr>
      </w:pPr>
      <w:bookmarkStart w:id="0" w:name="PointTmp"/>
      <w:r w:rsidRPr="00FB2F39">
        <w:rPr>
          <w:rFonts w:ascii="Calibri" w:hAnsi="Calibri"/>
          <w:i/>
          <w:iCs/>
        </w:rPr>
        <w:t xml:space="preserve">Keywords </w:t>
      </w:r>
      <w:r w:rsidR="001C5E06" w:rsidRPr="00CB654C">
        <w:rPr>
          <w:rFonts w:ascii="Calibri" w:hAnsi="Calibri"/>
        </w:rPr>
        <w:t>—</w:t>
      </w:r>
      <w:r w:rsidR="00F46035" w:rsidRPr="00F46035">
        <w:t xml:space="preserve"> </w:t>
      </w:r>
      <w:r w:rsidR="00F46035" w:rsidRPr="00F46035">
        <w:rPr>
          <w:rFonts w:ascii="Calibri" w:hAnsi="Calibri"/>
        </w:rPr>
        <w:t>Time Series, Stock Market, GARCH, VAR, Regression, Quantitative Finance</w:t>
      </w:r>
      <w:r w:rsidR="001C5E06" w:rsidRPr="00CB654C">
        <w:rPr>
          <w:rFonts w:ascii="Calibri" w:hAnsi="Calibri"/>
        </w:rPr>
        <w:t xml:space="preserve">. </w:t>
      </w:r>
    </w:p>
    <w:p w14:paraId="3D87B6DA" w14:textId="77777777" w:rsidR="001C5E06" w:rsidRPr="00CB654C" w:rsidRDefault="001C5E06">
      <w:pPr>
        <w:rPr>
          <w:rFonts w:ascii="Calibri" w:hAnsi="Calibri"/>
        </w:rPr>
      </w:pPr>
    </w:p>
    <w:bookmarkEnd w:id="0"/>
    <w:p w14:paraId="1A7EA390" w14:textId="77777777" w:rsidR="001C5E06" w:rsidRPr="00CB654C" w:rsidRDefault="001C5E06">
      <w:pPr>
        <w:pStyle w:val="Heading1"/>
        <w:rPr>
          <w:rFonts w:ascii="Calibri" w:hAnsi="Calibri"/>
        </w:rPr>
      </w:pPr>
      <w:r w:rsidRPr="00CB654C">
        <w:rPr>
          <w:rFonts w:ascii="Calibri" w:hAnsi="Calibri"/>
        </w:rPr>
        <w:t>INTRODUCTION</w:t>
      </w:r>
    </w:p>
    <w:p w14:paraId="3CA5C6DD" w14:textId="77777777" w:rsidR="00890CCC" w:rsidRPr="00D31797" w:rsidRDefault="001C5E06" w:rsidP="00890CCC">
      <w:pPr>
        <w:pStyle w:val="Text"/>
        <w:rPr>
          <w:rFonts w:ascii="Calibri" w:hAnsi="Calibri"/>
          <w:color w:val="000000" w:themeColor="text1"/>
        </w:rPr>
      </w:pPr>
      <w:r w:rsidRPr="00D31797">
        <w:rPr>
          <w:rFonts w:ascii="Calibri" w:hAnsi="Calibri"/>
          <w:color w:val="000000" w:themeColor="text1"/>
          <w:lang w:eastAsia="zh-TW"/>
        </w:rPr>
        <w:t xml:space="preserve">  </w:t>
      </w:r>
      <w:r w:rsidR="00890CCC" w:rsidRPr="00D31797">
        <w:rPr>
          <w:rFonts w:ascii="Calibri" w:hAnsi="Calibri"/>
          <w:color w:val="000000" w:themeColor="text1"/>
        </w:rPr>
        <w:t>The Ho Chi Minh Stock Exchange (HOSE) is an emerging market strongly affected by global shocks and domestic economic fluctuations. The turbulent period 2020–2025, including COVID-19, liquidity cycles, and geopolitical risks, has increased market volatility and exposed the limits of experience-based trading. Existing studies on Vietnam often use small datasets, pre-2020 data, or single-model approaches, leaving a gap in integrated, data-driven analysis.</w:t>
      </w:r>
    </w:p>
    <w:p w14:paraId="0755810A" w14:textId="16B1E551" w:rsidR="008B48D1" w:rsidRPr="00890CCC" w:rsidRDefault="00890CCC" w:rsidP="00890CCC">
      <w:pPr>
        <w:pStyle w:val="Text"/>
        <w:rPr>
          <w:rFonts w:ascii="Calibri" w:hAnsi="Calibri"/>
          <w:color w:val="00B0F0"/>
        </w:rPr>
      </w:pPr>
      <w:r w:rsidRPr="00D31797">
        <w:rPr>
          <w:rFonts w:ascii="Calibri" w:hAnsi="Calibri"/>
          <w:color w:val="000000" w:themeColor="text1"/>
        </w:rPr>
        <w:t>This study proposes a unified quantitative framework combining Regression, GARCH, VAR, technical indicators (MA, MACD, RSI), and financial ratios (P/E, P/B, ROE, ROA). Using data from 392 HOSE stocks (2020–2025), the framework examines sectoral lead–lag patterns, foreign capital effects, volatility clustering, and short-term predictive signals. The results enhance forecasting accuracy and provide practical insights for investment and risk managemen</w:t>
      </w:r>
      <w:r w:rsidRPr="00890CCC">
        <w:rPr>
          <w:rFonts w:ascii="Calibri" w:hAnsi="Calibri"/>
          <w:color w:val="00B0F0"/>
        </w:rPr>
        <w:t>t</w:t>
      </w:r>
      <w:r w:rsidR="001C5E06" w:rsidRPr="00890CCC">
        <w:rPr>
          <w:rFonts w:ascii="Calibri" w:hAnsi="Calibri"/>
          <w:color w:val="00B0F0"/>
        </w:rPr>
        <w:t xml:space="preserve">. </w:t>
      </w:r>
    </w:p>
    <w:p w14:paraId="182FEDFD" w14:textId="77777777" w:rsidR="00486202" w:rsidRPr="00CB654C" w:rsidRDefault="001C5E06" w:rsidP="00486202">
      <w:pPr>
        <w:pStyle w:val="Heading1"/>
        <w:rPr>
          <w:rFonts w:ascii="Calibri" w:hAnsi="Calibri"/>
        </w:rPr>
      </w:pPr>
      <w:r w:rsidRPr="00CB654C">
        <w:rPr>
          <w:rFonts w:ascii="Calibri" w:hAnsi="Calibri"/>
        </w:rPr>
        <w:t xml:space="preserve"> </w:t>
      </w:r>
      <w:r w:rsidR="0049392C" w:rsidRPr="0049392C">
        <w:rPr>
          <w:rFonts w:ascii="Calibri" w:hAnsi="Calibri"/>
        </w:rPr>
        <w:t>Literature Review</w:t>
      </w:r>
    </w:p>
    <w:p w14:paraId="0910A5C0" w14:textId="4885E13C" w:rsidR="000D632A" w:rsidRPr="00DE76FF" w:rsidRDefault="00C111AC" w:rsidP="000D632A">
      <w:pPr>
        <w:pStyle w:val="Text"/>
        <w:rPr>
          <w:rFonts w:ascii="Calibri" w:hAnsi="Calibri"/>
          <w:color w:val="000000" w:themeColor="text1"/>
        </w:rPr>
      </w:pPr>
      <w:r w:rsidRPr="00C111AC">
        <w:rPr>
          <w:rFonts w:ascii="Calibri" w:hAnsi="Calibri"/>
          <w:color w:val="000000" w:themeColor="text1"/>
        </w:rPr>
        <w:t xml:space="preserve">The rapid expansion of the Vietnamese stock market, reflected in record growth in retail investor participation in 2024, highlights the increasing demand for reliable, data-driven analytical tools. Despite this expansion, the availability of comprehensive forecasting frameworks tailored to emerging markets remains limited. Recent studies emphasize the importance of incorporating trading activity, macroeconomic factors, and volatility dynamics when analyzing market behavior. </w:t>
      </w:r>
      <w:proofErr w:type="spellStart"/>
      <w:r w:rsidRPr="00C111AC">
        <w:rPr>
          <w:rFonts w:ascii="Calibri" w:hAnsi="Calibri"/>
          <w:color w:val="000000" w:themeColor="text1"/>
        </w:rPr>
        <w:t>Toromade</w:t>
      </w:r>
      <w:proofErr w:type="spellEnd"/>
      <w:r w:rsidRPr="00C111AC">
        <w:rPr>
          <w:rFonts w:ascii="Calibri" w:hAnsi="Calibri"/>
          <w:color w:val="000000" w:themeColor="text1"/>
        </w:rPr>
        <w:t xml:space="preserve"> and Chiekezie [7], for example, investigate forecasting methods using historical data and establish the relevance of multi-factor modeling for investment decision-making in developing markets</w:t>
      </w:r>
      <w:r w:rsidR="000D632A" w:rsidRPr="00DE76FF">
        <w:rPr>
          <w:rFonts w:ascii="Calibri" w:hAnsi="Calibri"/>
          <w:color w:val="000000" w:themeColor="text1"/>
        </w:rPr>
        <w:t>.</w:t>
      </w:r>
    </w:p>
    <w:p w14:paraId="2261175E" w14:textId="0E127DB6" w:rsidR="000D632A" w:rsidRPr="00DE76FF" w:rsidRDefault="00C111AC" w:rsidP="000D632A">
      <w:pPr>
        <w:pStyle w:val="Text"/>
        <w:rPr>
          <w:rFonts w:ascii="Calibri" w:hAnsi="Calibri"/>
          <w:color w:val="000000" w:themeColor="text1"/>
        </w:rPr>
      </w:pPr>
      <w:r w:rsidRPr="00C111AC">
        <w:rPr>
          <w:rFonts w:ascii="Calibri" w:hAnsi="Calibri"/>
          <w:color w:val="000000" w:themeColor="text1"/>
        </w:rPr>
        <w:t>Earlier foundational studies on Asian markets provide useful benchmarks for understanding return patterns and volatility transmission; however, many rely on pre-2020 data and do not capture structural changes observed in recent years. Furthermore, traditional analyses of the relationship between trading volume and price movements—commonly implemented using linear regression—suffer from multicollinearity and weak short-term predictive power, limiting their suitability for modern volatile markets</w:t>
      </w:r>
      <w:r w:rsidR="000D632A" w:rsidRPr="00DE76FF">
        <w:rPr>
          <w:rFonts w:ascii="Calibri" w:hAnsi="Calibri"/>
          <w:color w:val="000000" w:themeColor="text1"/>
        </w:rPr>
        <w:t>.</w:t>
      </w:r>
    </w:p>
    <w:p w14:paraId="13A94DA4" w14:textId="18638C13" w:rsidR="0049392C" w:rsidRPr="00DE76FF" w:rsidRDefault="00C111AC" w:rsidP="000D632A">
      <w:pPr>
        <w:pStyle w:val="Text"/>
        <w:rPr>
          <w:rFonts w:ascii="Calibri" w:hAnsi="Calibri"/>
          <w:color w:val="000000" w:themeColor="text1"/>
        </w:rPr>
      </w:pPr>
      <w:r w:rsidRPr="00C111AC">
        <w:rPr>
          <w:rFonts w:ascii="Calibri" w:hAnsi="Calibri"/>
          <w:color w:val="000000" w:themeColor="text1"/>
        </w:rPr>
        <w:t xml:space="preserve">To overcome these limitations, recent research has introduced more advanced time-series models. Khoo et al. [10] propose a Markov-Switching Spatiotemporal </w:t>
      </w:r>
      <w:proofErr w:type="spellStart"/>
      <w:r w:rsidRPr="00C111AC">
        <w:rPr>
          <w:rFonts w:ascii="Calibri" w:hAnsi="Calibri"/>
          <w:color w:val="000000" w:themeColor="text1"/>
        </w:rPr>
        <w:t>logARCH</w:t>
      </w:r>
      <w:proofErr w:type="spellEnd"/>
      <w:r w:rsidRPr="00C111AC">
        <w:rPr>
          <w:rFonts w:ascii="Calibri" w:hAnsi="Calibri"/>
          <w:color w:val="000000" w:themeColor="text1"/>
        </w:rPr>
        <w:t xml:space="preserve"> (MS-STARCH) model capable of identifying structural breaks across correlated markets, an increasingly important capability in periods of policy shifts and macroeconomic uncertainty. Complementary to this, Agrawal et al. [11] demonstrate that combining sentiment-based indicators with traditional technical signals significantly improves prediction accuracy, underscoring the value of hybrid modeling approaches. A broader perspective is provided by Arora et al. [12], who review modern forecasting techniques—from ARIMA and GARCH families to machine learning methods—and conclude that integrated, multi-layer frameworks are particularly well-suited for emerging markets such as Vietnam</w:t>
      </w:r>
      <w:r w:rsidR="000D632A" w:rsidRPr="00DE76FF">
        <w:rPr>
          <w:rFonts w:ascii="Calibri" w:hAnsi="Calibri"/>
          <w:color w:val="000000" w:themeColor="text1"/>
        </w:rPr>
        <w:t>.</w:t>
      </w:r>
    </w:p>
    <w:p w14:paraId="2296F8C4" w14:textId="7DD19E5B" w:rsidR="001C5E06" w:rsidRPr="00D87E75" w:rsidRDefault="00BE109C" w:rsidP="00BE109C">
      <w:pPr>
        <w:pStyle w:val="Text"/>
        <w:spacing w:before="120" w:after="60"/>
        <w:ind w:firstLine="204"/>
        <w:outlineLvl w:val="1"/>
        <w:rPr>
          <w:rFonts w:ascii="Calibri" w:hAnsi="Calibri"/>
          <w:i/>
          <w:iCs/>
        </w:rPr>
      </w:pPr>
      <w:r>
        <w:rPr>
          <w:rFonts w:ascii="Calibri" w:hAnsi="Calibri"/>
          <w:i/>
          <w:iCs/>
        </w:rPr>
        <w:t xml:space="preserve">A.   </w:t>
      </w:r>
      <w:r w:rsidR="0049392C" w:rsidRPr="00D87E75">
        <w:rPr>
          <w:rFonts w:ascii="Calibri" w:hAnsi="Calibri"/>
          <w:i/>
          <w:iCs/>
        </w:rPr>
        <w:t>Theoretical Background</w:t>
      </w:r>
    </w:p>
    <w:p w14:paraId="5A571FBB" w14:textId="77777777" w:rsidR="0049392C" w:rsidRPr="0049392C" w:rsidRDefault="0049392C" w:rsidP="0049392C">
      <w:pPr>
        <w:pStyle w:val="Text"/>
        <w:rPr>
          <w:rFonts w:ascii="Calibri" w:hAnsi="Calibri"/>
        </w:rPr>
      </w:pPr>
      <w:r w:rsidRPr="0049392C">
        <w:rPr>
          <w:rFonts w:ascii="Calibri" w:hAnsi="Calibri"/>
        </w:rPr>
        <w:t>Efficient Market Hypothesis (EMH) – Fama (1970) defines three market forms:</w:t>
      </w:r>
    </w:p>
    <w:p w14:paraId="5C795335" w14:textId="77777777" w:rsidR="00BE109C" w:rsidRPr="00BE109C" w:rsidRDefault="00000000" w:rsidP="0049392C">
      <w:pPr>
        <w:pStyle w:val="Text"/>
        <w:rPr>
          <w:rFonts w:ascii="Calibri" w:hAnsi="Calibri"/>
          <w:iCs/>
        </w:rPr>
      </w:pPr>
      <m:oMathPara>
        <m:oMath>
          <m:eqArr>
            <m:eqArrPr>
              <m:maxDist m:val="1"/>
              <m:ctrlPr>
                <w:rPr>
                  <w:rFonts w:ascii="Cambria Math" w:hAnsi="Cambria Math"/>
                  <w:i/>
                </w:rPr>
              </m:ctrlPr>
            </m:eqArrPr>
            <m:e>
              <m:r>
                <m:rPr>
                  <m:nor/>
                </m:rPr>
                <w:rPr>
                  <w:iCs/>
                </w:rPr>
                <m:t xml:space="preserve">Weak-form: </m:t>
              </m:r>
              <m:r>
                <m:rPr>
                  <m:nor/>
                </m:rPr>
                <w:rPr>
                  <w:rFonts w:ascii="Cambria Math"/>
                  <w:iCs/>
                </w:rPr>
                <m:t xml:space="preserve"> </m:t>
              </m:r>
              <m:sSub>
                <m:sSubPr>
                  <m:ctrlPr>
                    <w:rPr>
                      <w:rFonts w:ascii="Cambria Math" w:hAnsi="Cambria Math"/>
                      <w:i/>
                      <w:iCs/>
                    </w:rPr>
                  </m:ctrlPr>
                </m:sSubPr>
                <m:e>
                  <m:r>
                    <w:rPr>
                      <w:rFonts w:ascii="Cambria Math"/>
                    </w:rPr>
                    <m:t>P</m:t>
                  </m:r>
                </m:e>
                <m:sub>
                  <m:r>
                    <w:rPr>
                      <w:rFonts w:ascii="Cambria Math"/>
                    </w:rPr>
                    <m:t>t</m:t>
                  </m:r>
                </m:sub>
              </m:sSub>
              <m:r>
                <w:rPr>
                  <w:rFonts w:ascii="Cambria Math"/>
                </w:rPr>
                <m:t>=f</m:t>
              </m:r>
              <m:r>
                <m:rPr>
                  <m:nor/>
                </m:rPr>
                <m:t>(</m:t>
              </m:r>
              <m:sSub>
                <m:sSubPr>
                  <m:ctrlPr>
                    <w:rPr>
                      <w:rFonts w:ascii="Cambria Math" w:hAnsi="Cambria Math"/>
                      <w:i/>
                    </w:rPr>
                  </m:ctrlPr>
                </m:sSubPr>
                <m:e>
                  <m:r>
                    <w:rPr>
                      <w:rFonts w:ascii="Cambria Math" w:hAnsi="Cambria Math"/>
                    </w:rPr>
                    <m:t>P</m:t>
                  </m:r>
                </m:e>
                <m:sub>
                  <m:r>
                    <w:rPr>
                      <w:rFonts w:ascii="Cambria Math" w:hAnsi="Cambria Math"/>
                    </w:rPr>
                    <m:t>t-1</m:t>
                  </m:r>
                </m:sub>
              </m:sSub>
              <m:r>
                <m:rPr>
                  <m:nor/>
                </m:rPr>
                <m:t xml:space="preserve">) + </m:t>
              </m:r>
              <m:sSub>
                <m:sSubPr>
                  <m:ctrlPr>
                    <w:rPr>
                      <w:rFonts w:ascii="Cambria Math" w:hAnsi="Cambria Math"/>
                      <w:i/>
                    </w:rPr>
                  </m:ctrlPr>
                </m:sSubPr>
                <m:e>
                  <m:r>
                    <w:rPr>
                      <w:rFonts w:ascii="Cambria Math" w:hAnsi="Cambria Math"/>
                    </w:rPr>
                    <m:t>ε</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m:t>
                  </m:r>
                </m:e>
              </m:d>
              <m:ctrlPr>
                <w:rPr>
                  <w:rFonts w:ascii="Cambria Math" w:hAnsi="Cambria Math"/>
                  <w:i/>
                  <w:iCs/>
                </w:rPr>
              </m:ctrlPr>
            </m:e>
          </m:eqArr>
        </m:oMath>
      </m:oMathPara>
    </w:p>
    <w:p w14:paraId="6BF79122" w14:textId="64D3A8E3" w:rsidR="0049392C" w:rsidRPr="0049392C" w:rsidRDefault="0049392C" w:rsidP="0049392C">
      <w:pPr>
        <w:pStyle w:val="Text"/>
        <w:rPr>
          <w:rFonts w:ascii="Calibri" w:hAnsi="Calibri"/>
        </w:rPr>
      </w:pPr>
      <w:r w:rsidRPr="0049392C">
        <w:rPr>
          <w:rFonts w:ascii="Calibri" w:hAnsi="Calibri"/>
        </w:rPr>
        <w:t>where all historical price information is embedded in</w:t>
      </w:r>
      <m:oMath>
        <m:sSub>
          <m:sSubPr>
            <m:ctrlPr>
              <w:rPr>
                <w:rFonts w:ascii="Cambria Math" w:hAnsi="Cambria Math"/>
              </w:rPr>
            </m:ctrlPr>
          </m:sSubPr>
          <m:e>
            <m:r>
              <m:rPr>
                <m:nor/>
              </m:rPr>
              <w:rPr>
                <w:rFonts w:ascii="Cambria Math" w:hAnsi="Cambria Math"/>
                <w:iCs/>
              </w:rPr>
              <m:t xml:space="preserve"> P</m:t>
            </m:r>
          </m:e>
          <m:sub>
            <m:r>
              <m:rPr>
                <m:nor/>
              </m:rPr>
              <w:rPr>
                <w:rFonts w:ascii="Cambria Math" w:hAnsi="Cambria Math"/>
                <w:iCs/>
              </w:rPr>
              <m:t>t</m:t>
            </m:r>
          </m:sub>
        </m:sSub>
      </m:oMath>
      <w:r w:rsidRPr="0049392C">
        <w:rPr>
          <w:rFonts w:ascii="Calibri" w:hAnsi="Calibri"/>
        </w:rPr>
        <w:t>.</w:t>
      </w:r>
    </w:p>
    <w:p w14:paraId="1387B6DF" w14:textId="77777777" w:rsidR="0049392C" w:rsidRPr="0049392C" w:rsidRDefault="0049392C" w:rsidP="0049392C">
      <w:pPr>
        <w:pStyle w:val="Text"/>
        <w:rPr>
          <w:rFonts w:ascii="Calibri" w:hAnsi="Calibri"/>
        </w:rPr>
      </w:pPr>
      <w:r w:rsidRPr="0049392C">
        <w:rPr>
          <w:rFonts w:ascii="Calibri" w:hAnsi="Calibri"/>
        </w:rPr>
        <w:t>Vietnam’s market often violates this assumption, exhibiting serial correlation and predictable returns, confirming weak-form inefficiency.</w:t>
      </w:r>
    </w:p>
    <w:p w14:paraId="587F43AE" w14:textId="77777777" w:rsidR="0049392C" w:rsidRDefault="0049392C" w:rsidP="0049392C">
      <w:pPr>
        <w:pStyle w:val="Text"/>
        <w:rPr>
          <w:rFonts w:ascii="Calibri" w:hAnsi="Calibri"/>
        </w:rPr>
      </w:pPr>
      <w:r w:rsidRPr="0049392C">
        <w:rPr>
          <w:rFonts w:ascii="Calibri" w:hAnsi="Calibri"/>
        </w:rPr>
        <w:t>Modern Portfolio Theory (MPT) – Markowitz (1952) formulates portfolio optimization:</w:t>
      </w:r>
    </w:p>
    <w:p w14:paraId="1148E4EF" w14:textId="7237E806" w:rsidR="00BE109C" w:rsidRPr="00BE109C" w:rsidRDefault="00000000" w:rsidP="0049392C">
      <w:pPr>
        <w:pStyle w:val="Text"/>
        <w:rPr>
          <w:rFonts w:ascii="Calibri" w:hAnsi="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σ</m:t>
                  </m:r>
                </m:e>
                <m:sub>
                  <m:r>
                    <w:rPr>
                      <w:rFonts w:ascii="Cambria Math" w:hAnsi="Cambria Math"/>
                    </w:rPr>
                    <m:t>p</m:t>
                  </m:r>
                </m:sub>
                <m:sup>
                  <m:r>
                    <m:rPr>
                      <m:sty m:val="p"/>
                    </m:rPr>
                    <w:rPr>
                      <w:rFonts w:ascii="Cambria Math" w:hAnsi="Cambria Math"/>
                    </w:rPr>
                    <m:t>2</m:t>
                  </m:r>
                </m:sup>
              </m:sSubSup>
              <m:r>
                <m:rPr>
                  <m:nor/>
                </m:rPr>
                <m:t xml:space="preserve"> </m:t>
              </m:r>
              <m:r>
                <m:rPr>
                  <m:nor/>
                </m:rPr>
                <w:rPr>
                  <w:rStyle w:val="mathChar"/>
                  <w:rFonts w:eastAsia="PMingLiU"/>
                </w:rPr>
                <m:t xml:space="preserve">= </m:t>
              </m:r>
              <m:nary>
                <m:naryPr>
                  <m:chr m:val="∑"/>
                  <m:limLoc m:val="undOvr"/>
                  <m:ctrlPr>
                    <w:rPr>
                      <w:rStyle w:val="mathChar"/>
                      <w:rFonts w:eastAsia="PMingLiU"/>
                    </w:rPr>
                  </m:ctrlPr>
                </m:naryPr>
                <m:sub>
                  <m:r>
                    <w:rPr>
                      <w:rStyle w:val="mathChar"/>
                      <w:rFonts w:eastAsia="PMingLiU"/>
                    </w:rPr>
                    <m:t>i=1</m:t>
                  </m:r>
                </m:sub>
                <m:sup>
                  <m:r>
                    <w:rPr>
                      <w:rStyle w:val="mathChar"/>
                      <w:rFonts w:eastAsia="PMingLiU"/>
                    </w:rPr>
                    <m:t>n</m:t>
                  </m:r>
                </m:sup>
                <m:e>
                  <m:nary>
                    <m:naryPr>
                      <m:chr m:val="∑"/>
                      <m:limLoc m:val="undOvr"/>
                      <m:ctrlPr>
                        <w:rPr>
                          <w:rStyle w:val="mathChar"/>
                          <w:rFonts w:eastAsia="PMingLiU"/>
                        </w:rPr>
                      </m:ctrlPr>
                    </m:naryPr>
                    <m:sub>
                      <m:r>
                        <w:rPr>
                          <w:rStyle w:val="mathChar"/>
                          <w:rFonts w:eastAsia="PMingLiU"/>
                        </w:rPr>
                        <m:t>j=1</m:t>
                      </m:r>
                    </m:sub>
                    <m:sup>
                      <m:r>
                        <w:rPr>
                          <w:rStyle w:val="mathChar"/>
                          <w:rFonts w:eastAsia="PMingLiU"/>
                        </w:rPr>
                        <m:t>n</m:t>
                      </m:r>
                    </m:sup>
                    <m:e>
                      <m:sSub>
                        <m:sSubPr>
                          <m:ctrlPr>
                            <w:rPr>
                              <w:rStyle w:val="mathChar"/>
                              <w:rFonts w:eastAsia="PMingLiU"/>
                            </w:rPr>
                          </m:ctrlPr>
                        </m:sSubPr>
                        <m:e>
                          <m:r>
                            <w:rPr>
                              <w:rStyle w:val="mathChar"/>
                              <w:rFonts w:eastAsia="PMingLiU"/>
                            </w:rPr>
                            <m:t>w</m:t>
                          </m:r>
                        </m:e>
                        <m:sub>
                          <m:r>
                            <w:rPr>
                              <w:rStyle w:val="mathChar"/>
                              <w:rFonts w:eastAsia="PMingLiU"/>
                            </w:rPr>
                            <m:t>i</m:t>
                          </m:r>
                        </m:sub>
                      </m:sSub>
                    </m:e>
                  </m:nary>
                  <m:sSub>
                    <m:sSubPr>
                      <m:ctrlPr>
                        <w:rPr>
                          <w:rStyle w:val="mathChar"/>
                          <w:rFonts w:eastAsia="PMingLiU"/>
                        </w:rPr>
                      </m:ctrlPr>
                    </m:sSubPr>
                    <m:e>
                      <m:r>
                        <w:rPr>
                          <w:rStyle w:val="mathChar"/>
                          <w:rFonts w:eastAsia="PMingLiU"/>
                        </w:rPr>
                        <m:t>w</m:t>
                      </m:r>
                    </m:e>
                    <m:sub>
                      <m:r>
                        <w:rPr>
                          <w:rStyle w:val="mathChar"/>
                          <w:rFonts w:eastAsia="PMingLiU"/>
                        </w:rPr>
                        <m:t>j</m:t>
                      </m:r>
                    </m:sub>
                  </m:sSub>
                  <m:sSub>
                    <m:sSubPr>
                      <m:ctrlPr>
                        <w:rPr>
                          <w:rStyle w:val="mathChar"/>
                          <w:rFonts w:eastAsia="PMingLiU"/>
                        </w:rPr>
                      </m:ctrlPr>
                    </m:sSubPr>
                    <m:e>
                      <m:r>
                        <w:rPr>
                          <w:rStyle w:val="mathChar"/>
                          <w:rFonts w:eastAsia="PMingLiU"/>
                        </w:rPr>
                        <m:t>σ</m:t>
                      </m:r>
                    </m:e>
                    <m:sub>
                      <m:r>
                        <w:rPr>
                          <w:rStyle w:val="mathChar"/>
                          <w:rFonts w:eastAsia="PMingLiU"/>
                        </w:rPr>
                        <m:t>ij</m:t>
                      </m:r>
                    </m:sub>
                  </m:sSub>
                </m:e>
              </m:nary>
              <m:r>
                <w:rPr>
                  <w:rFonts w:ascii="Cambria Math" w:hAnsi="Cambria Math"/>
                </w:rPr>
                <m:t>#</m:t>
              </m:r>
              <m:d>
                <m:dPr>
                  <m:ctrlPr>
                    <w:rPr>
                      <w:rFonts w:ascii="Cambria Math" w:hAnsi="Cambria Math"/>
                      <w:i/>
                    </w:rPr>
                  </m:ctrlPr>
                </m:dPr>
                <m:e>
                  <m:r>
                    <w:rPr>
                      <w:rFonts w:ascii="Cambria Math" w:hAnsi="Cambria Math"/>
                    </w:rPr>
                    <m:t>2</m:t>
                  </m:r>
                </m:e>
              </m:d>
            </m:e>
          </m:eqArr>
        </m:oMath>
      </m:oMathPara>
    </w:p>
    <w:p w14:paraId="0430B014" w14:textId="260EA457" w:rsidR="00BE109C" w:rsidRPr="00BE109C" w:rsidRDefault="00000000" w:rsidP="0049392C">
      <w:pPr>
        <w:pStyle w:val="Text"/>
        <w:rPr>
          <w:rFonts w:ascii="Calibri" w:hAnsi="Calibri"/>
        </w:rPr>
      </w:pPr>
      <m:oMathPara>
        <m:oMath>
          <m:eqArr>
            <m:eqArrPr>
              <m:maxDist m:val="1"/>
              <m:ctrlPr>
                <w:rPr>
                  <w:rFonts w:ascii="Cambria Math" w:hAnsi="Cambria Math"/>
                  <w:i/>
                </w:rPr>
              </m:ctrlPr>
            </m:eqArrPr>
            <m:e>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p</m:t>
                      </m:r>
                    </m:sub>
                  </m:sSub>
                </m:e>
              </m:d>
              <m:r>
                <m:rPr>
                  <m:nor/>
                </m:rPr>
                <w:rPr>
                  <w:rFonts w:ascii="Cambria Math" w:hAnsi="Cambria Math"/>
                </w:rPr>
                <m:t xml:space="preserve"> =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e>
                  </m:d>
                </m:e>
              </m:nary>
              <m:r>
                <w:rPr>
                  <w:rFonts w:ascii="Cambria Math" w:hAnsi="Cambria Math"/>
                </w:rPr>
                <m:t>#</m:t>
              </m:r>
              <m:d>
                <m:dPr>
                  <m:ctrlPr>
                    <w:rPr>
                      <w:rFonts w:ascii="Cambria Math" w:hAnsi="Cambria Math"/>
                      <w:i/>
                    </w:rPr>
                  </m:ctrlPr>
                </m:dPr>
                <m:e>
                  <m:r>
                    <w:rPr>
                      <w:rFonts w:ascii="Cambria Math" w:hAnsi="Cambria Math"/>
                    </w:rPr>
                    <m:t>3</m:t>
                  </m:r>
                </m:e>
              </m:d>
            </m:e>
          </m:eqArr>
        </m:oMath>
      </m:oMathPara>
    </w:p>
    <w:p w14:paraId="6B902581" w14:textId="32B5BD01" w:rsidR="0049392C" w:rsidRPr="00BE109C" w:rsidRDefault="0049392C" w:rsidP="00BE109C">
      <w:pPr>
        <w:pStyle w:val="Text"/>
        <w:ind w:firstLine="0"/>
        <w:rPr>
          <w:rFonts w:ascii="Calibri" w:hAnsi="Calibri"/>
        </w:rPr>
      </w:pPr>
      <w:r w:rsidRPr="0049392C">
        <w:rPr>
          <w:rFonts w:ascii="Calibri" w:hAnsi="Calibri"/>
        </w:rPr>
        <w:t>where   is the weight of asset</w:t>
      </w:r>
      <w:r w:rsidR="00BE109C">
        <w:rPr>
          <w:rFonts w:ascii="Calibri" w:hAnsi="Calibri"/>
        </w:rPr>
        <w:t xml:space="preserve"> </w:t>
      </w:r>
      <m:oMath>
        <m:r>
          <w:rPr>
            <w:rFonts w:ascii="Cambria Math" w:hAnsi="Cambria Math"/>
          </w:rPr>
          <m:t>i</m:t>
        </m:r>
      </m:oMath>
      <w:r w:rsidRPr="0049392C">
        <w:rPr>
          <w:rFonts w:ascii="Calibri" w:hAnsi="Calibri"/>
        </w:rPr>
        <w:t>.</w:t>
      </w:r>
    </w:p>
    <w:p w14:paraId="3986E55C" w14:textId="0719C55B" w:rsidR="00BE109C" w:rsidRDefault="0049392C" w:rsidP="0049392C">
      <w:pPr>
        <w:pStyle w:val="Text"/>
        <w:ind w:firstLine="0"/>
        <w:rPr>
          <w:rFonts w:ascii="Calibri" w:hAnsi="Calibri"/>
        </w:rPr>
      </w:pPr>
      <w:r w:rsidRPr="0049392C">
        <w:rPr>
          <w:rFonts w:ascii="Calibri" w:hAnsi="Calibri"/>
        </w:rPr>
        <w:t xml:space="preserve">The efficient frontier derived from minimizing </w:t>
      </w:r>
      <m:oMath>
        <m:sSubSup>
          <m:sSubSupPr>
            <m:ctrlPr>
              <w:rPr>
                <w:rFonts w:ascii="Cambria Math" w:hAnsi="Cambria Math"/>
              </w:rPr>
            </m:ctrlPr>
          </m:sSubSupPr>
          <m:e>
            <m:r>
              <m:rPr>
                <m:sty m:val="p"/>
              </m:rPr>
              <w:rPr>
                <w:rFonts w:ascii="Cambria Math" w:hAnsi="Cambria Math"/>
              </w:rPr>
              <m:t>σ</m:t>
            </m:r>
          </m:e>
          <m:sub>
            <m:r>
              <w:rPr>
                <w:rFonts w:ascii="Cambria Math" w:hAnsi="Cambria Math"/>
              </w:rPr>
              <m:t>p</m:t>
            </m:r>
          </m:sub>
          <m:sup>
            <m:r>
              <w:rPr>
                <w:rFonts w:ascii="Cambria Math" w:hAnsi="Cambria Math"/>
              </w:rPr>
              <m:t>2</m:t>
            </m:r>
          </m:sup>
        </m:sSubSup>
      </m:oMath>
      <w:r w:rsidRPr="0049392C">
        <w:rPr>
          <w:rFonts w:ascii="Calibri" w:hAnsi="Calibri"/>
        </w:rPr>
        <w:t xml:space="preserve">for </w:t>
      </w:r>
      <w:r w:rsidR="00BE109C">
        <w:rPr>
          <w:rFonts w:ascii="Calibri" w:hAnsi="Calibri"/>
        </w:rPr>
        <w:t xml:space="preserve">each </w:t>
      </w:r>
      <m:oMath>
        <m:r>
          <m:rPr>
            <m:sty m:val="p"/>
          </m:rPr>
          <w:rPr>
            <w:rFonts w:ascii="Cambria Math" w:hAnsi="Cambria Math"/>
          </w:rPr>
          <m:t xml:space="preserve"> E</m:t>
        </m:r>
        <m:d>
          <m:dPr>
            <m:ctrlPr>
              <w:rPr>
                <w:rFonts w:ascii="Cambria Math" w:hAnsi="Cambria Math"/>
              </w:rPr>
            </m:ctrlPr>
          </m:dPr>
          <m:e>
            <m:sSub>
              <m:sSubPr>
                <m:ctrlPr>
                  <w:rPr>
                    <w:rFonts w:ascii="Cambria Math" w:hAnsi="Cambria Math"/>
                    <w:i/>
                  </w:rPr>
                </m:ctrlPr>
              </m:sSubPr>
              <m:e>
                <m:r>
                  <w:rPr>
                    <w:rFonts w:ascii="Cambria Math" w:hAnsi="Cambria Math"/>
                  </w:rPr>
                  <m:t>R</m:t>
                </m:r>
              </m:e>
              <m:sub>
                <m:r>
                  <w:rPr>
                    <w:rFonts w:ascii="Cambria Math" w:hAnsi="Cambria Math"/>
                  </w:rPr>
                  <m:t>p</m:t>
                </m:r>
              </m:sub>
            </m:sSub>
          </m:e>
        </m:d>
        <m:r>
          <w:rPr>
            <w:rFonts w:ascii="Cambria Math" w:hAnsi="Cambria Math"/>
          </w:rPr>
          <m:t xml:space="preserve"> </m:t>
        </m:r>
      </m:oMath>
      <w:r w:rsidRPr="0049392C">
        <w:rPr>
          <w:rFonts w:ascii="Calibri" w:hAnsi="Calibri"/>
        </w:rPr>
        <w:t>provides optimal diversification</w:t>
      </w:r>
    </w:p>
    <w:p w14:paraId="27123DCA" w14:textId="37B98314" w:rsidR="00BE109C" w:rsidRDefault="00BE109C" w:rsidP="00BE109C">
      <w:pPr>
        <w:pStyle w:val="Text"/>
        <w:spacing w:before="120" w:after="60"/>
        <w:ind w:firstLine="204"/>
        <w:outlineLvl w:val="2"/>
        <w:rPr>
          <w:rFonts w:ascii="Calibri" w:hAnsi="Calibri"/>
        </w:rPr>
      </w:pPr>
      <w:r>
        <w:rPr>
          <w:rFonts w:ascii="Calibri" w:hAnsi="Calibri"/>
          <w:i/>
          <w:iCs/>
        </w:rPr>
        <w:t xml:space="preserve">B.   </w:t>
      </w:r>
      <w:r w:rsidRPr="00BE109C">
        <w:rPr>
          <w:rFonts w:ascii="Calibri" w:hAnsi="Calibri"/>
          <w:i/>
          <w:iCs/>
        </w:rPr>
        <w:t>Technical</w:t>
      </w:r>
      <w:r w:rsidRPr="00BE109C">
        <w:rPr>
          <w:rFonts w:ascii="Calibri" w:hAnsi="Calibri"/>
        </w:rPr>
        <w:t xml:space="preserve"> </w:t>
      </w:r>
      <w:r w:rsidRPr="00BE109C">
        <w:rPr>
          <w:rFonts w:ascii="Calibri" w:hAnsi="Calibri"/>
          <w:i/>
          <w:iCs/>
        </w:rPr>
        <w:t>Indicators</w:t>
      </w:r>
    </w:p>
    <w:p w14:paraId="2C97411A" w14:textId="58F65344" w:rsidR="00BE109C" w:rsidRDefault="00BE109C" w:rsidP="00BE109C">
      <w:pPr>
        <w:pStyle w:val="Text"/>
        <w:ind w:firstLine="0"/>
        <w:rPr>
          <w:rFonts w:ascii="Calibri" w:hAnsi="Calibri"/>
        </w:rPr>
      </w:pPr>
      <w:r w:rsidRPr="00BE109C">
        <w:rPr>
          <w:rFonts w:ascii="Calibri" w:hAnsi="Calibri"/>
        </w:rPr>
        <w:t>Moving Average (MA):</w:t>
      </w:r>
    </w:p>
    <w:p w14:paraId="7F8514D8" w14:textId="3C940606" w:rsidR="00BE109C" w:rsidRPr="00BE109C" w:rsidRDefault="00000000" w:rsidP="00BE109C">
      <w:pPr>
        <w:pStyle w:val="Text"/>
        <w:rPr>
          <w:rFonts w:ascii="Calibri" w:hAnsi="Calibri"/>
        </w:rPr>
      </w:pPr>
      <m:oMathPara>
        <m:oMath>
          <m:eqArr>
            <m:eqArrPr>
              <m:maxDist m:val="1"/>
              <m:ctrlPr>
                <w:rPr>
                  <w:rFonts w:ascii="Cambria Math" w:hAnsi="Cambria Math"/>
                  <w:i/>
                </w:rPr>
              </m:ctrlPr>
            </m:eqArrPr>
            <m:e>
              <m:r>
                <m:rPr>
                  <m:sty m:val="p"/>
                </m:rPr>
                <w:rPr>
                  <w:rFonts w:ascii="Cambria Math" w:hAnsi="Cambria Math"/>
                </w:rPr>
                <m:t>M</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n</m:t>
                  </m:r>
                </m:sub>
              </m:sSub>
              <m:r>
                <m:rPr>
                  <m:nor/>
                </m:rPr>
                <m:t xml:space="preserve"> = </m:t>
              </m:r>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nary>
                <m:naryPr>
                  <m:chr m:val="∑"/>
                  <m:limLoc m:val="undOvr"/>
                  <m:ctrlPr>
                    <w:rPr>
                      <w:rFonts w:ascii="Cambria Math" w:hAnsi="Cambria Math"/>
                    </w:rPr>
                  </m:ctrlPr>
                </m:naryPr>
                <m:sub>
                  <m:r>
                    <m:rPr>
                      <m:sty m:val="p"/>
                    </m:rPr>
                    <w:rPr>
                      <w:rFonts w:ascii="Cambria Math" w:hAnsi="Cambria Math"/>
                    </w:rPr>
                    <m:t>t =1</m:t>
                  </m:r>
                </m:sub>
                <m:sup>
                  <m:r>
                    <m:rPr>
                      <m:sty m:val="p"/>
                    </m:rPr>
                    <w:rPr>
                      <w:rFonts w:ascii="Cambria Math" w:hAnsi="Cambria Math"/>
                    </w:rPr>
                    <m:t>n</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t</m:t>
                      </m:r>
                    </m:sub>
                  </m:sSub>
                </m:e>
              </m:nary>
              <m:r>
                <w:rPr>
                  <w:rFonts w:ascii="Cambria Math" w:hAnsi="Cambria Math"/>
                </w:rPr>
                <m:t>#</m:t>
              </m:r>
              <m:d>
                <m:dPr>
                  <m:ctrlPr>
                    <w:rPr>
                      <w:rFonts w:ascii="Cambria Math" w:hAnsi="Cambria Math"/>
                      <w:i/>
                    </w:rPr>
                  </m:ctrlPr>
                </m:dPr>
                <m:e>
                  <m:r>
                    <w:rPr>
                      <w:rFonts w:ascii="Cambria Math" w:hAnsi="Cambria Math"/>
                    </w:rPr>
                    <m:t>4</m:t>
                  </m:r>
                </m:e>
              </m:d>
            </m:e>
          </m:eqArr>
        </m:oMath>
      </m:oMathPara>
    </w:p>
    <w:p w14:paraId="71E68B47" w14:textId="77777777" w:rsidR="00BE109C" w:rsidRPr="00BE109C" w:rsidRDefault="00BE109C" w:rsidP="00BE109C">
      <w:pPr>
        <w:pStyle w:val="Text"/>
        <w:rPr>
          <w:rFonts w:ascii="Calibri" w:hAnsi="Calibri"/>
        </w:rPr>
      </w:pPr>
      <w:r w:rsidRPr="00BE109C">
        <w:rPr>
          <w:rFonts w:ascii="Calibri" w:hAnsi="Calibri"/>
        </w:rPr>
        <w:t>Used to smooth price fluctuations and detect trends.</w:t>
      </w:r>
    </w:p>
    <w:p w14:paraId="70347CDD" w14:textId="347A27F1" w:rsidR="00BE109C" w:rsidRDefault="00BE109C" w:rsidP="00BE109C">
      <w:pPr>
        <w:pStyle w:val="Text"/>
        <w:rPr>
          <w:rFonts w:ascii="Calibri" w:hAnsi="Calibri"/>
        </w:rPr>
      </w:pPr>
      <w:r w:rsidRPr="00BE109C">
        <w:rPr>
          <w:rFonts w:ascii="Calibri" w:hAnsi="Calibri"/>
        </w:rPr>
        <w:t>When a short-term MA (e.g., MA50) crosses above a long-term MA (e.g., MA200), it signals a Golden Cross (buy); the reverse indicates a Death Cross (sell).</w:t>
      </w:r>
    </w:p>
    <w:p w14:paraId="1C435071" w14:textId="524E3820" w:rsidR="00BE109C" w:rsidRDefault="00BE109C" w:rsidP="00BE109C">
      <w:pPr>
        <w:pStyle w:val="Text"/>
        <w:ind w:firstLine="0"/>
        <w:rPr>
          <w:rFonts w:ascii="Calibri" w:hAnsi="Calibri"/>
        </w:rPr>
      </w:pPr>
      <w:r w:rsidRPr="00BE109C">
        <w:rPr>
          <w:rFonts w:ascii="Calibri" w:hAnsi="Calibri"/>
        </w:rPr>
        <w:t>Moving Average Convergence Divergence (MACD):</w:t>
      </w:r>
    </w:p>
    <w:p w14:paraId="16C282CC" w14:textId="4BC30B22" w:rsidR="00BE109C" w:rsidRPr="00FF6647" w:rsidRDefault="00000000"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 xml:space="preserve">MACD = </m:t>
              </m:r>
              <m:sSub>
                <m:sSubPr>
                  <m:ctrlPr>
                    <w:rPr>
                      <w:rFonts w:ascii="Cambria Math" w:hAnsi="Cambria Math"/>
                      <w:i/>
                    </w:rPr>
                  </m:ctrlPr>
                </m:sSubPr>
                <m:e>
                  <m:r>
                    <w:rPr>
                      <w:rFonts w:ascii="Cambria Math" w:hAnsi="Cambria Math"/>
                    </w:rPr>
                    <m:t>EMA</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EMA</m:t>
                  </m:r>
                </m:e>
                <m:sub>
                  <m:r>
                    <w:rPr>
                      <w:rFonts w:ascii="Cambria Math" w:hAnsi="Cambria Math"/>
                    </w:rPr>
                    <m:t>26</m:t>
                  </m:r>
                </m:sub>
              </m:sSub>
              <m:r>
                <w:rPr>
                  <w:rFonts w:ascii="Cambria Math" w:hAnsi="Cambria Math"/>
                </w:rPr>
                <m:t>#</m:t>
              </m:r>
              <m:d>
                <m:dPr>
                  <m:ctrlPr>
                    <w:rPr>
                      <w:rFonts w:ascii="Cambria Math" w:hAnsi="Cambria Math"/>
                      <w:i/>
                    </w:rPr>
                  </m:ctrlPr>
                </m:dPr>
                <m:e>
                  <m:r>
                    <w:rPr>
                      <w:rFonts w:ascii="Cambria Math" w:hAnsi="Cambria Math"/>
                    </w:rPr>
                    <m:t>5</m:t>
                  </m:r>
                </m:e>
              </m:d>
            </m:e>
          </m:eqArr>
        </m:oMath>
      </m:oMathPara>
    </w:p>
    <w:p w14:paraId="16285918" w14:textId="7452ED0A" w:rsidR="00FF6647" w:rsidRPr="00FF6647" w:rsidRDefault="00000000"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 xml:space="preserve">Signal = </m:t>
              </m:r>
              <m:sSub>
                <m:sSubPr>
                  <m:ctrlPr>
                    <w:rPr>
                      <w:rFonts w:ascii="Cambria Math" w:hAnsi="Cambria Math"/>
                      <w:i/>
                    </w:rPr>
                  </m:ctrlPr>
                </m:sSubPr>
                <m:e>
                  <m:r>
                    <w:rPr>
                      <w:rFonts w:ascii="Cambria Math" w:hAnsi="Cambria Math"/>
                    </w:rPr>
                    <m:t xml:space="preserve">EMA </m:t>
                  </m:r>
                </m:e>
                <m:sub>
                  <m:r>
                    <w:rPr>
                      <w:rFonts w:ascii="Cambria Math" w:hAnsi="Cambria Math"/>
                    </w:rPr>
                    <m:t>9</m:t>
                  </m:r>
                </m:sub>
              </m:sSub>
              <m:d>
                <m:dPr>
                  <m:ctrlPr>
                    <w:rPr>
                      <w:rFonts w:ascii="Cambria Math" w:hAnsi="Cambria Math"/>
                      <w:i/>
                    </w:rPr>
                  </m:ctrlPr>
                </m:dPr>
                <m:e>
                  <m:r>
                    <w:rPr>
                      <w:rFonts w:ascii="Cambria Math" w:hAnsi="Cambria Math"/>
                    </w:rPr>
                    <m:t>MACD</m:t>
                  </m:r>
                </m:e>
              </m:d>
              <m:r>
                <w:rPr>
                  <w:rFonts w:ascii="Cambria Math" w:hAnsi="Cambria Math"/>
                </w:rPr>
                <m:t>#</m:t>
              </m:r>
              <m:d>
                <m:dPr>
                  <m:ctrlPr>
                    <w:rPr>
                      <w:rFonts w:ascii="Cambria Math" w:hAnsi="Cambria Math"/>
                      <w:i/>
                    </w:rPr>
                  </m:ctrlPr>
                </m:dPr>
                <m:e>
                  <m:r>
                    <w:rPr>
                      <w:rFonts w:ascii="Cambria Math" w:hAnsi="Cambria Math"/>
                    </w:rPr>
                    <m:t>6</m:t>
                  </m:r>
                </m:e>
              </m:d>
            </m:e>
          </m:eqArr>
        </m:oMath>
      </m:oMathPara>
    </w:p>
    <w:p w14:paraId="5D3E8152" w14:textId="60A028D6" w:rsidR="00BE109C" w:rsidRPr="00FF6647" w:rsidRDefault="00000000"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Histogram= MACD - Signal#</m:t>
              </m:r>
              <m:d>
                <m:dPr>
                  <m:ctrlPr>
                    <w:rPr>
                      <w:rFonts w:ascii="Cambria Math" w:hAnsi="Cambria Math"/>
                      <w:i/>
                    </w:rPr>
                  </m:ctrlPr>
                </m:dPr>
                <m:e>
                  <m:r>
                    <w:rPr>
                      <w:rFonts w:ascii="Cambria Math" w:hAnsi="Cambria Math"/>
                    </w:rPr>
                    <m:t>7</m:t>
                  </m:r>
                </m:e>
              </m:d>
            </m:e>
          </m:eqArr>
        </m:oMath>
      </m:oMathPara>
    </w:p>
    <w:p w14:paraId="755B2C25" w14:textId="797E3D62" w:rsidR="00FF6647" w:rsidRDefault="00FF6647" w:rsidP="00BE109C">
      <w:pPr>
        <w:pStyle w:val="Text"/>
        <w:ind w:firstLine="0"/>
        <w:rPr>
          <w:rFonts w:ascii="Calibri" w:hAnsi="Calibri"/>
        </w:rPr>
      </w:pPr>
      <w:r w:rsidRPr="00FF6647">
        <w:rPr>
          <w:rFonts w:ascii="Calibri" w:hAnsi="Calibri"/>
        </w:rPr>
        <w:t>The MACD histogram visualizes momentum strength</w:t>
      </w:r>
    </w:p>
    <w:p w14:paraId="735CA968" w14:textId="7809F280" w:rsidR="00FF6647" w:rsidRDefault="00FF6647" w:rsidP="00BE109C">
      <w:pPr>
        <w:pStyle w:val="Text"/>
        <w:ind w:firstLine="0"/>
        <w:rPr>
          <w:rFonts w:ascii="Calibri" w:hAnsi="Calibri"/>
        </w:rPr>
      </w:pPr>
      <w:r w:rsidRPr="00FF6647">
        <w:rPr>
          <w:rFonts w:ascii="Calibri" w:hAnsi="Calibri"/>
        </w:rPr>
        <w:t>Relative Strength Index (RSI):</w:t>
      </w:r>
    </w:p>
    <w:p w14:paraId="63CEEFFF" w14:textId="144FC688" w:rsidR="00FF6647" w:rsidRPr="00FF6647" w:rsidRDefault="00000000"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 xml:space="preserve">RSI </m:t>
              </m:r>
              <m:r>
                <m:rPr>
                  <m:nor/>
                </m:rPr>
                <w:rPr>
                  <w:rFonts w:ascii="Cambria Math" w:hAnsi="Cambria Math"/>
                </w:rPr>
                <m:t>= 100</m:t>
              </m:r>
              <m:r>
                <w:rPr>
                  <w:rFonts w:ascii="Cambria Math" w:hAnsi="Cambria Math"/>
                </w:rPr>
                <m:t>-</m:t>
              </m:r>
              <m:f>
                <m:fPr>
                  <m:ctrlPr>
                    <w:rPr>
                      <w:rFonts w:ascii="Cambria Math" w:hAnsi="Cambria Math"/>
                      <w:i/>
                    </w:rPr>
                  </m:ctrlPr>
                </m:fPr>
                <m:num>
                  <m:r>
                    <w:rPr>
                      <w:rFonts w:ascii="Cambria Math" w:hAnsi="Cambria Math"/>
                    </w:rPr>
                    <m:t>100</m:t>
                  </m:r>
                </m:num>
                <m:den>
                  <m:r>
                    <w:rPr>
                      <w:rFonts w:ascii="Cambria Math" w:hAnsi="Cambria Math"/>
                    </w:rPr>
                    <m:t>1+RS</m:t>
                  </m:r>
                </m:den>
              </m:f>
              <m:r>
                <w:rPr>
                  <w:rFonts w:ascii="Cambria Math" w:hAnsi="Cambria Math"/>
                </w:rPr>
                <m:t>#</m:t>
              </m:r>
              <m:d>
                <m:dPr>
                  <m:ctrlPr>
                    <w:rPr>
                      <w:rFonts w:ascii="Cambria Math" w:hAnsi="Cambria Math"/>
                      <w:i/>
                    </w:rPr>
                  </m:ctrlPr>
                </m:dPr>
                <m:e>
                  <m:r>
                    <w:rPr>
                      <w:rFonts w:ascii="Cambria Math" w:hAnsi="Cambria Math"/>
                    </w:rPr>
                    <m:t>8</m:t>
                  </m:r>
                </m:e>
              </m:d>
            </m:e>
          </m:eqArr>
        </m:oMath>
      </m:oMathPara>
    </w:p>
    <w:p w14:paraId="2AC7A090" w14:textId="6B33A928" w:rsidR="00FF6647" w:rsidRDefault="00FF6647" w:rsidP="00BE109C">
      <w:pPr>
        <w:pStyle w:val="Text"/>
        <w:ind w:firstLine="0"/>
        <w:rPr>
          <w:rFonts w:ascii="Calibri" w:hAnsi="Calibri"/>
        </w:rPr>
      </w:pPr>
      <w:r w:rsidRPr="00FF6647">
        <w:rPr>
          <w:rFonts w:ascii="Calibri" w:hAnsi="Calibri"/>
        </w:rPr>
        <w:t>Where</w:t>
      </w:r>
    </w:p>
    <w:p w14:paraId="4B5D55A5" w14:textId="7A953287" w:rsidR="00FF6647" w:rsidRPr="00FF6647" w:rsidRDefault="00000000" w:rsidP="00BE109C">
      <w:pPr>
        <w:pStyle w:val="Text"/>
        <w:ind w:firstLine="0"/>
        <w:rPr>
          <w:rFonts w:ascii="Calibri" w:hAnsi="Calibri"/>
        </w:rPr>
      </w:pPr>
      <m:oMathPara>
        <m:oMath>
          <m:eqArr>
            <m:eqArrPr>
              <m:maxDist m:val="1"/>
              <m:ctrlPr>
                <w:rPr>
                  <w:rFonts w:ascii="Cambria Math" w:hAnsi="Cambria Math"/>
                  <w:i/>
                </w:rPr>
              </m:ctrlPr>
            </m:eqArrPr>
            <m:e>
              <m:r>
                <w:rPr>
                  <w:rFonts w:ascii="Cambria Math" w:hAnsi="Cambria Math"/>
                </w:rPr>
                <m:t xml:space="preserve">RS= </m:t>
              </m:r>
              <m:f>
                <m:fPr>
                  <m:ctrlPr>
                    <w:rPr>
                      <w:rFonts w:ascii="Cambria Math" w:hAnsi="Cambria Math"/>
                      <w:i/>
                    </w:rPr>
                  </m:ctrlPr>
                </m:fPr>
                <m:num>
                  <m:r>
                    <w:rPr>
                      <w:rFonts w:ascii="Cambria Math" w:hAnsi="Cambria Math"/>
                    </w:rPr>
                    <m:t>Average Gain</m:t>
                  </m:r>
                </m:num>
                <m:den>
                  <m:r>
                    <w:rPr>
                      <w:rFonts w:ascii="Cambria Math" w:hAnsi="Cambria Math"/>
                    </w:rPr>
                    <m:t>Average Loss</m:t>
                  </m:r>
                </m:den>
              </m:f>
              <m:r>
                <w:rPr>
                  <w:rFonts w:ascii="Cambria Math" w:hAnsi="Cambria Math"/>
                </w:rPr>
                <m:t>#</m:t>
              </m:r>
              <m:d>
                <m:dPr>
                  <m:ctrlPr>
                    <w:rPr>
                      <w:rFonts w:ascii="Cambria Math" w:hAnsi="Cambria Math"/>
                      <w:i/>
                    </w:rPr>
                  </m:ctrlPr>
                </m:dPr>
                <m:e>
                  <m:r>
                    <w:rPr>
                      <w:rFonts w:ascii="Cambria Math" w:hAnsi="Cambria Math"/>
                    </w:rPr>
                    <m:t>9</m:t>
                  </m:r>
                </m:e>
              </m:d>
            </m:e>
          </m:eqArr>
        </m:oMath>
      </m:oMathPara>
    </w:p>
    <w:p w14:paraId="2FF2BAB3" w14:textId="1F3C8D78" w:rsidR="00F3603E" w:rsidRDefault="00FF6647" w:rsidP="000D632A">
      <w:pPr>
        <w:pStyle w:val="Text"/>
        <w:ind w:firstLine="0"/>
        <w:rPr>
          <w:rFonts w:ascii="Calibri" w:hAnsi="Calibri"/>
        </w:rPr>
      </w:pPr>
      <w:r w:rsidRPr="00FF6647">
        <w:rPr>
          <w:rFonts w:ascii="Calibri" w:hAnsi="Calibri"/>
        </w:rPr>
        <w:t>RSI &gt; 70 implies overbought conditions; RSI &lt; 30 indicates oversold zones</w:t>
      </w:r>
      <w:r>
        <w:rPr>
          <w:rFonts w:ascii="Calibri" w:hAnsi="Calibri"/>
        </w:rPr>
        <w:t>.</w:t>
      </w:r>
    </w:p>
    <w:p w14:paraId="47CA5380" w14:textId="30D76E94" w:rsidR="00FF6647" w:rsidRDefault="000D632A" w:rsidP="00486202">
      <w:pPr>
        <w:pStyle w:val="Text"/>
        <w:spacing w:before="120" w:after="60"/>
        <w:ind w:firstLine="204"/>
        <w:outlineLvl w:val="1"/>
        <w:rPr>
          <w:rFonts w:ascii="Calibri" w:hAnsi="Calibri"/>
          <w:i/>
          <w:iCs/>
        </w:rPr>
      </w:pPr>
      <w:r>
        <w:rPr>
          <w:rFonts w:ascii="Calibri" w:hAnsi="Calibri"/>
          <w:i/>
          <w:iCs/>
        </w:rPr>
        <w:t>C.</w:t>
      </w:r>
      <w:r w:rsidR="00FF6647" w:rsidRPr="00FF6647">
        <w:rPr>
          <w:rFonts w:ascii="Calibri" w:hAnsi="Calibri"/>
          <w:i/>
          <w:iCs/>
        </w:rPr>
        <w:t xml:space="preserve">   Financial Indicators</w:t>
      </w:r>
    </w:p>
    <w:p w14:paraId="134E6671" w14:textId="132E7535" w:rsidR="00FF6647" w:rsidRPr="00F03142" w:rsidRDefault="00417E38" w:rsidP="00784EBC">
      <w:pPr>
        <w:pStyle w:val="Text"/>
        <w:spacing w:before="240" w:after="120"/>
        <w:ind w:firstLine="204"/>
        <w:jc w:val="center"/>
        <w:rPr>
          <w:rFonts w:ascii="Calibri" w:hAnsi="Calibri"/>
          <w:b/>
          <w:bCs/>
        </w:rPr>
      </w:pPr>
      <w:r w:rsidRPr="00F3603E">
        <w:rPr>
          <w:rFonts w:ascii="Calibri" w:hAnsi="Calibri"/>
          <w:b/>
          <w:bCs/>
        </w:rPr>
        <w:t xml:space="preserve">Table I. </w:t>
      </w:r>
      <w:r w:rsidRPr="00417E38">
        <w:rPr>
          <w:rFonts w:ascii="Calibri" w:hAnsi="Calibri"/>
        </w:rPr>
        <w:t>Formula Synthesis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993"/>
        <w:gridCol w:w="2269"/>
        <w:gridCol w:w="1611"/>
      </w:tblGrid>
      <w:tr w:rsidR="00F3603E" w14:paraId="21C4E01D" w14:textId="77777777" w:rsidTr="00F3603E">
        <w:tc>
          <w:tcPr>
            <w:tcW w:w="993" w:type="dxa"/>
            <w:vAlign w:val="center"/>
          </w:tcPr>
          <w:p w14:paraId="1BAE3725" w14:textId="60E8D038" w:rsidR="00F3603E" w:rsidRDefault="00F3603E" w:rsidP="00F3603E">
            <w:pPr>
              <w:pStyle w:val="Text"/>
              <w:spacing w:before="60" w:after="60"/>
              <w:ind w:firstLine="0"/>
              <w:jc w:val="left"/>
              <w:rPr>
                <w:rFonts w:ascii="Calibri" w:hAnsi="Calibri"/>
              </w:rPr>
            </w:pPr>
            <w:r w:rsidRPr="00F3603E">
              <w:rPr>
                <w:rFonts w:ascii="Calibri" w:hAnsi="Calibri"/>
              </w:rPr>
              <w:t>Indicator</w:t>
            </w:r>
          </w:p>
        </w:tc>
        <w:tc>
          <w:tcPr>
            <w:tcW w:w="2269" w:type="dxa"/>
            <w:vAlign w:val="center"/>
          </w:tcPr>
          <w:p w14:paraId="058645C2" w14:textId="3F6942D9" w:rsidR="00F3603E" w:rsidRDefault="00F3603E" w:rsidP="00F3603E">
            <w:pPr>
              <w:pStyle w:val="Text"/>
              <w:spacing w:before="60" w:after="60"/>
              <w:ind w:firstLine="0"/>
              <w:jc w:val="center"/>
              <w:rPr>
                <w:rFonts w:ascii="Calibri" w:hAnsi="Calibri"/>
              </w:rPr>
            </w:pPr>
            <w:r w:rsidRPr="00F3603E">
              <w:rPr>
                <w:rFonts w:ascii="Calibri" w:hAnsi="Calibri"/>
              </w:rPr>
              <w:t>Formula</w:t>
            </w:r>
          </w:p>
        </w:tc>
        <w:tc>
          <w:tcPr>
            <w:tcW w:w="1611" w:type="dxa"/>
            <w:vAlign w:val="center"/>
          </w:tcPr>
          <w:p w14:paraId="0B2EE99D" w14:textId="02B51D96" w:rsidR="00F3603E" w:rsidRDefault="00F3603E" w:rsidP="00F3603E">
            <w:pPr>
              <w:pStyle w:val="Text"/>
              <w:spacing w:before="60" w:after="60"/>
              <w:ind w:firstLine="0"/>
              <w:jc w:val="left"/>
              <w:rPr>
                <w:rFonts w:ascii="Calibri" w:hAnsi="Calibri"/>
              </w:rPr>
            </w:pPr>
            <w:r w:rsidRPr="00F3603E">
              <w:rPr>
                <w:rFonts w:ascii="Calibri" w:hAnsi="Calibri"/>
              </w:rPr>
              <w:tab/>
              <w:t>Interpretation</w:t>
            </w:r>
          </w:p>
        </w:tc>
      </w:tr>
      <w:tr w:rsidR="00F3603E" w14:paraId="16E3389A" w14:textId="77777777" w:rsidTr="00F3603E">
        <w:tc>
          <w:tcPr>
            <w:tcW w:w="993" w:type="dxa"/>
            <w:vAlign w:val="center"/>
          </w:tcPr>
          <w:p w14:paraId="18D6753B" w14:textId="47F376FA" w:rsidR="00F3603E" w:rsidRDefault="00F3603E" w:rsidP="00F3603E">
            <w:pPr>
              <w:pStyle w:val="Text"/>
              <w:spacing w:before="60" w:after="60"/>
              <w:ind w:firstLine="0"/>
              <w:jc w:val="left"/>
              <w:rPr>
                <w:rFonts w:ascii="Calibri" w:hAnsi="Calibri"/>
              </w:rPr>
            </w:pPr>
            <w:r w:rsidRPr="00F3603E">
              <w:rPr>
                <w:rFonts w:ascii="Calibri" w:hAnsi="Calibri"/>
              </w:rPr>
              <w:t>EPS</w:t>
            </w:r>
          </w:p>
        </w:tc>
        <w:tc>
          <w:tcPr>
            <w:tcW w:w="2269" w:type="dxa"/>
            <w:vAlign w:val="center"/>
          </w:tcPr>
          <w:p w14:paraId="765C10DA" w14:textId="3C617DF2" w:rsidR="00F3603E" w:rsidRDefault="00000000"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Net Income</m:t>
                    </m:r>
                  </m:num>
                  <m:den>
                    <m:r>
                      <w:rPr>
                        <w:rFonts w:ascii="Cambria Math" w:hAnsi="Cambria Math"/>
                      </w:rPr>
                      <m:t>Outstading Shares</m:t>
                    </m:r>
                  </m:den>
                </m:f>
              </m:oMath>
            </m:oMathPara>
          </w:p>
        </w:tc>
        <w:tc>
          <w:tcPr>
            <w:tcW w:w="1611" w:type="dxa"/>
            <w:vAlign w:val="center"/>
          </w:tcPr>
          <w:p w14:paraId="44FF72C8" w14:textId="1DDDB03D" w:rsidR="00F3603E" w:rsidRDefault="00F3603E" w:rsidP="00F3603E">
            <w:pPr>
              <w:pStyle w:val="Text"/>
              <w:spacing w:before="60" w:after="60"/>
              <w:ind w:firstLine="0"/>
              <w:jc w:val="left"/>
              <w:rPr>
                <w:rFonts w:ascii="Calibri" w:hAnsi="Calibri"/>
              </w:rPr>
            </w:pPr>
            <w:r w:rsidRPr="00F3603E">
              <w:rPr>
                <w:rFonts w:ascii="Calibri" w:hAnsi="Calibri"/>
              </w:rPr>
              <w:t>Profit per share</w:t>
            </w:r>
          </w:p>
        </w:tc>
      </w:tr>
      <w:tr w:rsidR="00F3603E" w14:paraId="1BE40C32" w14:textId="77777777" w:rsidTr="00F3603E">
        <w:tc>
          <w:tcPr>
            <w:tcW w:w="993" w:type="dxa"/>
            <w:vAlign w:val="center"/>
          </w:tcPr>
          <w:p w14:paraId="25FF2C89" w14:textId="0F368F73" w:rsidR="00F3603E" w:rsidRDefault="00F3603E" w:rsidP="00F3603E">
            <w:pPr>
              <w:pStyle w:val="Text"/>
              <w:spacing w:before="60" w:after="60"/>
              <w:ind w:firstLine="0"/>
              <w:jc w:val="left"/>
              <w:rPr>
                <w:rFonts w:ascii="Calibri" w:hAnsi="Calibri"/>
              </w:rPr>
            </w:pPr>
            <w:r w:rsidRPr="00F3603E">
              <w:rPr>
                <w:rFonts w:ascii="Calibri" w:hAnsi="Calibri"/>
              </w:rPr>
              <w:t>P/E</w:t>
            </w:r>
          </w:p>
        </w:tc>
        <w:tc>
          <w:tcPr>
            <w:tcW w:w="2269" w:type="dxa"/>
            <w:vAlign w:val="center"/>
          </w:tcPr>
          <w:p w14:paraId="495C4D46" w14:textId="6EF43571" w:rsidR="00F3603E" w:rsidRDefault="00000000"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Price</m:t>
                    </m:r>
                  </m:num>
                  <m:den>
                    <m:r>
                      <w:rPr>
                        <w:rFonts w:ascii="Cambria Math" w:hAnsi="Cambria Math"/>
                      </w:rPr>
                      <m:t>EPS</m:t>
                    </m:r>
                  </m:den>
                </m:f>
              </m:oMath>
            </m:oMathPara>
          </w:p>
        </w:tc>
        <w:tc>
          <w:tcPr>
            <w:tcW w:w="1611" w:type="dxa"/>
            <w:vAlign w:val="center"/>
          </w:tcPr>
          <w:p w14:paraId="750D5789" w14:textId="4604880A" w:rsidR="00F3603E" w:rsidRDefault="00F3603E" w:rsidP="00F3603E">
            <w:pPr>
              <w:pStyle w:val="Text"/>
              <w:spacing w:before="60" w:after="60"/>
              <w:ind w:firstLine="0"/>
              <w:jc w:val="left"/>
              <w:rPr>
                <w:rFonts w:ascii="Calibri" w:hAnsi="Calibri"/>
              </w:rPr>
            </w:pPr>
            <w:r w:rsidRPr="00F3603E">
              <w:rPr>
                <w:rFonts w:ascii="Calibri" w:hAnsi="Calibri"/>
              </w:rPr>
              <w:t>Valuation multiple</w:t>
            </w:r>
          </w:p>
        </w:tc>
      </w:tr>
      <w:tr w:rsidR="00F3603E" w14:paraId="07939B04" w14:textId="77777777" w:rsidTr="00F3603E">
        <w:tc>
          <w:tcPr>
            <w:tcW w:w="993" w:type="dxa"/>
            <w:vAlign w:val="center"/>
          </w:tcPr>
          <w:p w14:paraId="16B4A386" w14:textId="3C8FE3E4" w:rsidR="00F3603E" w:rsidRDefault="00F3603E" w:rsidP="00F3603E">
            <w:pPr>
              <w:pStyle w:val="Text"/>
              <w:spacing w:before="60" w:after="60"/>
              <w:ind w:firstLine="0"/>
              <w:jc w:val="left"/>
              <w:rPr>
                <w:rFonts w:ascii="Calibri" w:hAnsi="Calibri"/>
              </w:rPr>
            </w:pPr>
            <w:r w:rsidRPr="00F3603E">
              <w:rPr>
                <w:rFonts w:ascii="Calibri" w:hAnsi="Calibri"/>
              </w:rPr>
              <w:t>P/B</w:t>
            </w:r>
          </w:p>
        </w:tc>
        <w:tc>
          <w:tcPr>
            <w:tcW w:w="2269" w:type="dxa"/>
            <w:vAlign w:val="center"/>
          </w:tcPr>
          <w:p w14:paraId="2AF1F87D" w14:textId="26FCD3F8" w:rsidR="00F3603E" w:rsidRDefault="00000000"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Price</m:t>
                    </m:r>
                  </m:num>
                  <m:den>
                    <m:r>
                      <w:rPr>
                        <w:rFonts w:ascii="Cambria Math" w:hAnsi="Cambria Math"/>
                      </w:rPr>
                      <m:t>Book Value per Share</m:t>
                    </m:r>
                  </m:den>
                </m:f>
              </m:oMath>
            </m:oMathPara>
          </w:p>
        </w:tc>
        <w:tc>
          <w:tcPr>
            <w:tcW w:w="1611" w:type="dxa"/>
            <w:vAlign w:val="center"/>
          </w:tcPr>
          <w:p w14:paraId="1FD69EB7" w14:textId="71ACA2A4" w:rsidR="00F3603E" w:rsidRDefault="00F3603E" w:rsidP="00F3603E">
            <w:pPr>
              <w:pStyle w:val="Text"/>
              <w:spacing w:before="60" w:after="60"/>
              <w:ind w:firstLine="0"/>
              <w:jc w:val="left"/>
              <w:rPr>
                <w:rFonts w:ascii="Calibri" w:hAnsi="Calibri"/>
              </w:rPr>
            </w:pPr>
            <w:r w:rsidRPr="00F3603E">
              <w:rPr>
                <w:rFonts w:ascii="Calibri" w:hAnsi="Calibri"/>
              </w:rPr>
              <w:t>Comparison to intrinsic value</w:t>
            </w:r>
          </w:p>
        </w:tc>
      </w:tr>
      <w:tr w:rsidR="00F3603E" w14:paraId="2256A57B" w14:textId="77777777" w:rsidTr="00F3603E">
        <w:tc>
          <w:tcPr>
            <w:tcW w:w="993" w:type="dxa"/>
            <w:vAlign w:val="center"/>
          </w:tcPr>
          <w:p w14:paraId="44AE9556" w14:textId="617D3597" w:rsidR="00F3603E" w:rsidRDefault="00F3603E" w:rsidP="00F3603E">
            <w:pPr>
              <w:pStyle w:val="Text"/>
              <w:spacing w:before="60" w:after="60"/>
              <w:ind w:firstLine="0"/>
              <w:jc w:val="left"/>
              <w:rPr>
                <w:rFonts w:ascii="Calibri" w:hAnsi="Calibri"/>
              </w:rPr>
            </w:pPr>
            <w:r w:rsidRPr="00F3603E">
              <w:rPr>
                <w:rFonts w:ascii="Calibri" w:hAnsi="Calibri"/>
              </w:rPr>
              <w:t>ROE</w:t>
            </w:r>
          </w:p>
        </w:tc>
        <w:tc>
          <w:tcPr>
            <w:tcW w:w="2269" w:type="dxa"/>
            <w:vAlign w:val="center"/>
          </w:tcPr>
          <w:p w14:paraId="78A3D683" w14:textId="4B392879" w:rsidR="00F3603E" w:rsidRDefault="00000000"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Net Income</m:t>
                    </m:r>
                  </m:num>
                  <m:den>
                    <m:r>
                      <w:rPr>
                        <w:rFonts w:ascii="Cambria Math" w:hAnsi="Cambria Math"/>
                      </w:rPr>
                      <m:t>Average Equity</m:t>
                    </m:r>
                  </m:den>
                </m:f>
              </m:oMath>
            </m:oMathPara>
          </w:p>
        </w:tc>
        <w:tc>
          <w:tcPr>
            <w:tcW w:w="1611" w:type="dxa"/>
            <w:vAlign w:val="center"/>
          </w:tcPr>
          <w:p w14:paraId="40694A5D" w14:textId="529563D1" w:rsidR="00F3603E" w:rsidRDefault="00F3603E" w:rsidP="00F3603E">
            <w:pPr>
              <w:pStyle w:val="Text"/>
              <w:spacing w:before="60" w:after="60"/>
              <w:ind w:firstLine="0"/>
              <w:jc w:val="left"/>
              <w:rPr>
                <w:rFonts w:ascii="Calibri" w:hAnsi="Calibri"/>
              </w:rPr>
            </w:pPr>
            <w:r w:rsidRPr="00F3603E">
              <w:rPr>
                <w:rFonts w:ascii="Calibri" w:hAnsi="Calibri"/>
              </w:rPr>
              <w:t>Profitability to shareholders</w:t>
            </w:r>
          </w:p>
        </w:tc>
      </w:tr>
      <w:tr w:rsidR="00F3603E" w14:paraId="7240E240" w14:textId="77777777" w:rsidTr="00F3603E">
        <w:tc>
          <w:tcPr>
            <w:tcW w:w="993" w:type="dxa"/>
            <w:vAlign w:val="center"/>
          </w:tcPr>
          <w:p w14:paraId="7DFA1BDF" w14:textId="0C67DB0A" w:rsidR="00F3603E" w:rsidRDefault="00F3603E" w:rsidP="00F3603E">
            <w:pPr>
              <w:pStyle w:val="Text"/>
              <w:spacing w:before="60" w:after="60"/>
              <w:ind w:firstLine="0"/>
              <w:jc w:val="left"/>
              <w:rPr>
                <w:rFonts w:ascii="Calibri" w:hAnsi="Calibri"/>
              </w:rPr>
            </w:pPr>
            <w:r w:rsidRPr="00F3603E">
              <w:rPr>
                <w:rFonts w:ascii="Calibri" w:hAnsi="Calibri"/>
              </w:rPr>
              <w:t>ROA</w:t>
            </w:r>
          </w:p>
        </w:tc>
        <w:tc>
          <w:tcPr>
            <w:tcW w:w="2269" w:type="dxa"/>
            <w:vAlign w:val="center"/>
          </w:tcPr>
          <w:p w14:paraId="7F0C369D" w14:textId="51A2ABE5" w:rsidR="00F3603E" w:rsidRDefault="00000000"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Net Income</m:t>
                    </m:r>
                  </m:num>
                  <m:den>
                    <m:r>
                      <w:rPr>
                        <w:rFonts w:ascii="Cambria Math" w:hAnsi="Cambria Math"/>
                      </w:rPr>
                      <m:t>Average Assets</m:t>
                    </m:r>
                  </m:den>
                </m:f>
              </m:oMath>
            </m:oMathPara>
          </w:p>
        </w:tc>
        <w:tc>
          <w:tcPr>
            <w:tcW w:w="1611" w:type="dxa"/>
            <w:vAlign w:val="center"/>
          </w:tcPr>
          <w:p w14:paraId="129827F0" w14:textId="2A92D51D" w:rsidR="00F3603E" w:rsidRDefault="00F3603E" w:rsidP="00F3603E">
            <w:pPr>
              <w:pStyle w:val="Text"/>
              <w:spacing w:before="60" w:after="60"/>
              <w:ind w:firstLine="0"/>
              <w:jc w:val="left"/>
              <w:rPr>
                <w:rFonts w:ascii="Calibri" w:hAnsi="Calibri"/>
              </w:rPr>
            </w:pPr>
            <w:r w:rsidRPr="00F3603E">
              <w:rPr>
                <w:rFonts w:ascii="Calibri" w:hAnsi="Calibri"/>
              </w:rPr>
              <w:t>Asset efficiency</w:t>
            </w:r>
          </w:p>
        </w:tc>
      </w:tr>
      <w:tr w:rsidR="00F3603E" w14:paraId="2CA1AFF0" w14:textId="77777777" w:rsidTr="00F3603E">
        <w:tc>
          <w:tcPr>
            <w:tcW w:w="993" w:type="dxa"/>
            <w:vAlign w:val="center"/>
          </w:tcPr>
          <w:p w14:paraId="71173566" w14:textId="34215EF9" w:rsidR="00F3603E" w:rsidRDefault="00F3603E" w:rsidP="00F3603E">
            <w:pPr>
              <w:pStyle w:val="Text"/>
              <w:spacing w:before="60" w:after="60"/>
              <w:ind w:firstLine="0"/>
              <w:jc w:val="left"/>
              <w:rPr>
                <w:rFonts w:ascii="Calibri" w:hAnsi="Calibri"/>
              </w:rPr>
            </w:pPr>
            <w:r w:rsidRPr="00F3603E">
              <w:rPr>
                <w:rFonts w:ascii="Calibri" w:hAnsi="Calibri"/>
              </w:rPr>
              <w:t>D/E</w:t>
            </w:r>
          </w:p>
        </w:tc>
        <w:tc>
          <w:tcPr>
            <w:tcW w:w="2269" w:type="dxa"/>
            <w:vAlign w:val="center"/>
          </w:tcPr>
          <w:p w14:paraId="22688277" w14:textId="0BFFE7D8" w:rsidR="00F3603E" w:rsidRDefault="00000000" w:rsidP="00F3603E">
            <w:pPr>
              <w:pStyle w:val="Text"/>
              <w:spacing w:before="60" w:after="60"/>
              <w:ind w:firstLine="0"/>
              <w:jc w:val="center"/>
              <w:rPr>
                <w:rFonts w:ascii="Calibri" w:hAnsi="Calibri"/>
              </w:rPr>
            </w:pPr>
            <m:oMathPara>
              <m:oMath>
                <m:f>
                  <m:fPr>
                    <m:ctrlPr>
                      <w:rPr>
                        <w:rFonts w:ascii="Cambria Math" w:hAnsi="Cambria Math"/>
                        <w:i/>
                      </w:rPr>
                    </m:ctrlPr>
                  </m:fPr>
                  <m:num>
                    <m:r>
                      <w:rPr>
                        <w:rFonts w:ascii="Cambria Math" w:hAnsi="Cambria Math"/>
                      </w:rPr>
                      <m:t>Total Debt</m:t>
                    </m:r>
                  </m:num>
                  <m:den>
                    <m:r>
                      <w:rPr>
                        <w:rFonts w:ascii="Cambria Math" w:hAnsi="Cambria Math"/>
                      </w:rPr>
                      <m:t>Equity</m:t>
                    </m:r>
                  </m:den>
                </m:f>
              </m:oMath>
            </m:oMathPara>
          </w:p>
        </w:tc>
        <w:tc>
          <w:tcPr>
            <w:tcW w:w="1611" w:type="dxa"/>
            <w:vAlign w:val="center"/>
          </w:tcPr>
          <w:p w14:paraId="1E61E52D" w14:textId="11DBFC43" w:rsidR="00F3603E" w:rsidRDefault="00F3603E" w:rsidP="00F3603E">
            <w:pPr>
              <w:pStyle w:val="Text"/>
              <w:spacing w:before="60" w:after="60"/>
              <w:ind w:firstLine="0"/>
              <w:jc w:val="left"/>
              <w:rPr>
                <w:rFonts w:ascii="Calibri" w:hAnsi="Calibri"/>
              </w:rPr>
            </w:pPr>
            <w:r w:rsidRPr="00F3603E">
              <w:rPr>
                <w:rFonts w:ascii="Calibri" w:hAnsi="Calibri"/>
              </w:rPr>
              <w:t>Financial leverage</w:t>
            </w:r>
          </w:p>
        </w:tc>
      </w:tr>
    </w:tbl>
    <w:p w14:paraId="7C0990A1" w14:textId="77777777" w:rsidR="00F3603E" w:rsidRDefault="00F3603E" w:rsidP="00F3603E">
      <w:pPr>
        <w:pStyle w:val="Text"/>
        <w:ind w:firstLine="0"/>
        <w:rPr>
          <w:rFonts w:ascii="Calibri" w:hAnsi="Calibri"/>
        </w:rPr>
      </w:pPr>
    </w:p>
    <w:p w14:paraId="710BEB4A" w14:textId="7C01540A" w:rsidR="000D632A" w:rsidRDefault="00BD192A" w:rsidP="000D632A">
      <w:pPr>
        <w:pStyle w:val="Text"/>
        <w:ind w:firstLine="0"/>
        <w:rPr>
          <w:rFonts w:ascii="Calibri" w:hAnsi="Calibri"/>
        </w:rPr>
      </w:pPr>
      <w:r w:rsidRPr="00BD192A">
        <w:rPr>
          <w:rFonts w:ascii="Calibri" w:hAnsi="Calibri"/>
        </w:rPr>
        <w:t>These ratios, combined with time series models, create a multidimensional perspective on stock valuation and performance</w:t>
      </w:r>
    </w:p>
    <w:p w14:paraId="714E66A6" w14:textId="215FB3B0" w:rsidR="000D632A" w:rsidRDefault="000D632A" w:rsidP="000D632A">
      <w:pPr>
        <w:pStyle w:val="Text"/>
        <w:spacing w:before="120" w:after="60"/>
        <w:ind w:firstLine="204"/>
        <w:outlineLvl w:val="1"/>
        <w:rPr>
          <w:rFonts w:ascii="Calibri" w:hAnsi="Calibri"/>
          <w:i/>
          <w:iCs/>
        </w:rPr>
      </w:pPr>
      <w:r>
        <w:rPr>
          <w:rFonts w:ascii="Calibri" w:hAnsi="Calibri"/>
          <w:i/>
          <w:iCs/>
        </w:rPr>
        <w:t>D</w:t>
      </w:r>
      <w:r w:rsidRPr="00FF6647">
        <w:rPr>
          <w:rFonts w:ascii="Calibri" w:hAnsi="Calibri"/>
          <w:i/>
          <w:iCs/>
        </w:rPr>
        <w:t>.</w:t>
      </w:r>
      <w:r>
        <w:rPr>
          <w:rFonts w:ascii="Calibri" w:hAnsi="Calibri"/>
          <w:i/>
          <w:iCs/>
        </w:rPr>
        <w:t xml:space="preserve">   </w:t>
      </w:r>
      <w:r w:rsidRPr="00F3603E">
        <w:rPr>
          <w:rFonts w:ascii="Calibri" w:hAnsi="Calibri"/>
          <w:i/>
          <w:iCs/>
        </w:rPr>
        <w:t>Risk Assessment Models in Banking Sector Analysis</w:t>
      </w:r>
    </w:p>
    <w:p w14:paraId="3455A6D4" w14:textId="5DD3E36B" w:rsidR="00417E38" w:rsidRDefault="000D632A" w:rsidP="000D632A">
      <w:pPr>
        <w:pStyle w:val="Text"/>
        <w:ind w:firstLine="0"/>
        <w:rPr>
          <w:rFonts w:ascii="Calibri" w:hAnsi="Calibri"/>
        </w:rPr>
      </w:pPr>
      <w:r w:rsidRPr="00F3603E">
        <w:rPr>
          <w:rFonts w:ascii="Calibri" w:hAnsi="Calibri"/>
        </w:rPr>
        <w:t>Value at Risk (</w:t>
      </w:r>
      <w:proofErr w:type="spellStart"/>
      <w:r w:rsidRPr="00F3603E">
        <w:rPr>
          <w:rFonts w:ascii="Calibri" w:hAnsi="Calibri"/>
        </w:rPr>
        <w:t>VaR</w:t>
      </w:r>
      <w:proofErr w:type="spellEnd"/>
      <w:r w:rsidRPr="00F3603E">
        <w:rPr>
          <w:rFonts w:ascii="Calibri" w:hAnsi="Calibri"/>
        </w:rPr>
        <w:t xml:space="preserve">) models have evolved significantly with recent methodological improvements for emerging market applications. While </w:t>
      </w:r>
      <w:proofErr w:type="spellStart"/>
      <w:r w:rsidRPr="00F3603E">
        <w:rPr>
          <w:rFonts w:ascii="Calibri" w:hAnsi="Calibri"/>
        </w:rPr>
        <w:t>Jorion</w:t>
      </w:r>
      <w:proofErr w:type="spellEnd"/>
      <w:r w:rsidRPr="00F3603E">
        <w:rPr>
          <w:rFonts w:ascii="Calibri" w:hAnsi="Calibri"/>
        </w:rPr>
        <w:t xml:space="preserve"> (2007) established the theoretical foundation for </w:t>
      </w:r>
      <w:proofErr w:type="spellStart"/>
      <w:r w:rsidRPr="00F3603E">
        <w:rPr>
          <w:rFonts w:ascii="Calibri" w:hAnsi="Calibri"/>
        </w:rPr>
        <w:t>VaR</w:t>
      </w:r>
      <w:proofErr w:type="spellEnd"/>
      <w:r w:rsidRPr="00F3603E">
        <w:rPr>
          <w:rFonts w:ascii="Calibri" w:hAnsi="Calibri"/>
        </w:rPr>
        <w:t xml:space="preserve"> applications in portfolio management [</w:t>
      </w:r>
      <w:r w:rsidR="00A31D78">
        <w:rPr>
          <w:rFonts w:ascii="Calibri" w:hAnsi="Calibri"/>
        </w:rPr>
        <w:t>2</w:t>
      </w:r>
      <w:r w:rsidRPr="00F3603E">
        <w:rPr>
          <w:rFonts w:ascii="Calibri" w:hAnsi="Calibri"/>
        </w:rPr>
        <w:t xml:space="preserve">], recent work by Patel and Thompson (2024) has developed enhanced </w:t>
      </w:r>
      <w:proofErr w:type="spellStart"/>
      <w:r w:rsidRPr="00F3603E">
        <w:rPr>
          <w:rFonts w:ascii="Calibri" w:hAnsi="Calibri"/>
        </w:rPr>
        <w:t>VaR</w:t>
      </w:r>
      <w:proofErr w:type="spellEnd"/>
      <w:r w:rsidRPr="00F3603E">
        <w:rPr>
          <w:rFonts w:ascii="Calibri" w:hAnsi="Calibri"/>
        </w:rPr>
        <w:t xml:space="preserve"> models specifically adapted for emerging market banking sectors, incorporating regime-switching mechanisms and extreme value theory to better capture the higher volatility characteristics of these markets [</w:t>
      </w:r>
      <w:r w:rsidR="0063433C">
        <w:rPr>
          <w:rFonts w:ascii="Calibri" w:hAnsi="Calibri"/>
        </w:rPr>
        <w:t>7</w:t>
      </w:r>
      <w:r w:rsidRPr="00F3603E">
        <w:rPr>
          <w:rFonts w:ascii="Calibri" w:hAnsi="Calibri"/>
        </w:rPr>
        <w:t>]. These advanced models have shown superior performance in risk estimation accuracy, particularly during periods of market stress and uncertainty</w:t>
      </w:r>
      <w:r w:rsidR="00F03142">
        <w:rPr>
          <w:rFonts w:ascii="Calibri" w:hAnsi="Calibri"/>
        </w:rPr>
        <w:t>.</w:t>
      </w:r>
    </w:p>
    <w:p w14:paraId="6922316F" w14:textId="329294D6" w:rsidR="00F03142" w:rsidRPr="00FF6647" w:rsidRDefault="00F03142" w:rsidP="00F03142">
      <w:pPr>
        <w:pStyle w:val="Text"/>
        <w:ind w:firstLine="284"/>
        <w:rPr>
          <w:rFonts w:ascii="Calibri" w:hAnsi="Calibri"/>
        </w:rPr>
      </w:pPr>
      <w:r w:rsidRPr="00F03142">
        <w:rPr>
          <w:rFonts w:ascii="Calibri" w:hAnsi="Calibri"/>
        </w:rPr>
        <w:t xml:space="preserve">The financial statistical formulas are listed in detail in </w:t>
      </w:r>
      <w:r w:rsidRPr="00F03142">
        <w:rPr>
          <w:rFonts w:ascii="Calibri" w:hAnsi="Calibri"/>
          <w:color w:val="0070C0"/>
        </w:rPr>
        <w:t>Table I</w:t>
      </w:r>
      <w:r w:rsidRPr="00F03142">
        <w:rPr>
          <w:rFonts w:ascii="Calibri" w:hAnsi="Calibri"/>
        </w:rPr>
        <w:t>.</w:t>
      </w:r>
    </w:p>
    <w:p w14:paraId="2F031341" w14:textId="1CA9067A" w:rsidR="00881742" w:rsidRPr="00DE76FF" w:rsidRDefault="00486202" w:rsidP="00881742">
      <w:pPr>
        <w:pStyle w:val="Heading1"/>
        <w:rPr>
          <w:rFonts w:ascii="Calibri" w:hAnsi="Calibri"/>
          <w:color w:val="000000" w:themeColor="text1"/>
        </w:rPr>
      </w:pPr>
      <w:r w:rsidRPr="00DE76FF">
        <w:rPr>
          <w:rFonts w:ascii="Calibri" w:hAnsi="Calibri"/>
          <w:color w:val="000000" w:themeColor="text1"/>
        </w:rPr>
        <w:t>Research Methods</w:t>
      </w:r>
    </w:p>
    <w:p w14:paraId="03CE37E0" w14:textId="43C92BD9" w:rsidR="00486202" w:rsidRPr="00486202" w:rsidRDefault="00486202" w:rsidP="00486202">
      <w:pPr>
        <w:pStyle w:val="Text"/>
        <w:outlineLvl w:val="1"/>
        <w:rPr>
          <w:rFonts w:ascii="Calibri" w:hAnsi="Calibri"/>
          <w:i/>
          <w:iCs/>
        </w:rPr>
      </w:pPr>
      <w:r w:rsidRPr="00486202">
        <w:rPr>
          <w:rFonts w:ascii="Calibri" w:hAnsi="Calibri"/>
          <w:i/>
          <w:iCs/>
        </w:rPr>
        <w:t>A.   Data collection and processing</w:t>
      </w:r>
    </w:p>
    <w:p w14:paraId="5978D814" w14:textId="7AD5B958" w:rsidR="00FC6E6B" w:rsidRPr="00FC6E6B" w:rsidRDefault="00FC6E6B" w:rsidP="00562437">
      <w:pPr>
        <w:pStyle w:val="Text"/>
        <w:rPr>
          <w:rFonts w:ascii="Calibri" w:hAnsi="Calibri"/>
        </w:rPr>
      </w:pPr>
      <w:r w:rsidRPr="00FC6E6B">
        <w:rPr>
          <w:rFonts w:ascii="Calibri" w:hAnsi="Calibri"/>
        </w:rPr>
        <w:t>This study utilizes a comprehensive dataset compiled from transaction information of stocks listed on the Ho Chi Minh Stock Exchange (HOSE). The data, structured as JSON objects, integrates transactional and financial aspects, encompassing:</w:t>
      </w:r>
    </w:p>
    <w:p w14:paraId="6B8D1185" w14:textId="74346BFD" w:rsidR="00FC6E6B" w:rsidRPr="00FC6E6B" w:rsidRDefault="00FC6E6B" w:rsidP="00562437">
      <w:pPr>
        <w:pStyle w:val="Text"/>
        <w:numPr>
          <w:ilvl w:val="0"/>
          <w:numId w:val="27"/>
        </w:numPr>
        <w:ind w:left="426"/>
        <w:rPr>
          <w:rFonts w:ascii="Calibri" w:hAnsi="Calibri"/>
        </w:rPr>
      </w:pPr>
      <w:r w:rsidRPr="00FC6E6B">
        <w:rPr>
          <w:rFonts w:ascii="Calibri" w:hAnsi="Calibri"/>
        </w:rPr>
        <w:t>Stock Identification (e.g., stock code, date).</w:t>
      </w:r>
    </w:p>
    <w:p w14:paraId="1B73606A" w14:textId="1A1FAF0A" w:rsidR="00FC6E6B" w:rsidRPr="00FC6E6B" w:rsidRDefault="00FC6E6B" w:rsidP="00562437">
      <w:pPr>
        <w:pStyle w:val="Text"/>
        <w:numPr>
          <w:ilvl w:val="0"/>
          <w:numId w:val="27"/>
        </w:numPr>
        <w:ind w:left="426"/>
        <w:rPr>
          <w:rFonts w:ascii="Calibri" w:hAnsi="Calibri"/>
        </w:rPr>
      </w:pPr>
      <w:r w:rsidRPr="00FC6E6B">
        <w:rPr>
          <w:rFonts w:ascii="Calibri" w:hAnsi="Calibri"/>
        </w:rPr>
        <w:t>Volume and Capitalization metrics (e.g., trading volume, market capitalization).</w:t>
      </w:r>
    </w:p>
    <w:p w14:paraId="0FC423BA" w14:textId="565DEF53" w:rsidR="00FC6E6B" w:rsidRPr="00FC6E6B" w:rsidRDefault="00FC6E6B" w:rsidP="00562437">
      <w:pPr>
        <w:pStyle w:val="Text"/>
        <w:numPr>
          <w:ilvl w:val="0"/>
          <w:numId w:val="27"/>
        </w:numPr>
        <w:ind w:left="426"/>
        <w:rPr>
          <w:rFonts w:ascii="Calibri" w:hAnsi="Calibri"/>
        </w:rPr>
      </w:pPr>
      <w:r w:rsidRPr="00FC6E6B">
        <w:rPr>
          <w:rFonts w:ascii="Calibri" w:hAnsi="Calibri"/>
        </w:rPr>
        <w:t>Price Information, including reference, opening, closing, and high-low prices, to capture intraday fluctuations [</w:t>
      </w:r>
      <w:r w:rsidR="0063433C">
        <w:rPr>
          <w:rFonts w:ascii="Calibri" w:hAnsi="Calibri"/>
        </w:rPr>
        <w:t>3</w:t>
      </w:r>
      <w:r w:rsidRPr="00FC6E6B">
        <w:rPr>
          <w:rFonts w:ascii="Calibri" w:hAnsi="Calibri"/>
        </w:rPr>
        <w:t>].</w:t>
      </w:r>
    </w:p>
    <w:p w14:paraId="4E0F3684" w14:textId="0631CB91" w:rsidR="00FC6E6B" w:rsidRPr="00FC6E6B" w:rsidRDefault="00FC6E6B" w:rsidP="00562437">
      <w:pPr>
        <w:pStyle w:val="Text"/>
        <w:numPr>
          <w:ilvl w:val="0"/>
          <w:numId w:val="27"/>
        </w:numPr>
        <w:ind w:left="426"/>
        <w:rPr>
          <w:rFonts w:ascii="Calibri" w:hAnsi="Calibri"/>
        </w:rPr>
      </w:pPr>
      <w:r w:rsidRPr="00FC6E6B">
        <w:rPr>
          <w:rFonts w:ascii="Calibri" w:hAnsi="Calibri"/>
        </w:rPr>
        <w:t>Financial Indicators (e.g., EPS, P/E, Beta) for fundamental analysis.</w:t>
      </w:r>
    </w:p>
    <w:p w14:paraId="1FA67ECC" w14:textId="3F5B347F" w:rsidR="00FC6E6B" w:rsidRPr="00FC6E6B" w:rsidRDefault="00FC6E6B" w:rsidP="00562437">
      <w:pPr>
        <w:pStyle w:val="Text"/>
        <w:numPr>
          <w:ilvl w:val="0"/>
          <w:numId w:val="27"/>
        </w:numPr>
        <w:ind w:left="426"/>
        <w:rPr>
          <w:rFonts w:ascii="Calibri" w:hAnsi="Calibri"/>
        </w:rPr>
      </w:pPr>
      <w:r w:rsidRPr="00FC6E6B">
        <w:rPr>
          <w:rFonts w:ascii="Calibri" w:hAnsi="Calibri"/>
        </w:rPr>
        <w:t>Foreign Investor Data (e.g., net trading values) for analyzing capital flows.</w:t>
      </w:r>
    </w:p>
    <w:p w14:paraId="2D2E8749" w14:textId="28F9B62B" w:rsidR="00FC6E6B" w:rsidRPr="00FC6E6B" w:rsidRDefault="00FC6E6B" w:rsidP="00562437">
      <w:pPr>
        <w:pStyle w:val="Text"/>
        <w:numPr>
          <w:ilvl w:val="0"/>
          <w:numId w:val="27"/>
        </w:numPr>
        <w:ind w:left="426"/>
        <w:rPr>
          <w:rFonts w:ascii="Calibri" w:hAnsi="Calibri"/>
        </w:rPr>
      </w:pPr>
      <w:r w:rsidRPr="00FC6E6B">
        <w:rPr>
          <w:rFonts w:ascii="Calibri" w:hAnsi="Calibri"/>
        </w:rPr>
        <w:t>Additional Variables (e.g., dividends, returns, ownership ratio).</w:t>
      </w:r>
    </w:p>
    <w:p w14:paraId="3D7AB75C" w14:textId="1B25E768" w:rsidR="001C5E06" w:rsidRDefault="00FC6E6B" w:rsidP="00FC6E6B">
      <w:pPr>
        <w:pStyle w:val="Text"/>
        <w:rPr>
          <w:rFonts w:ascii="Calibri" w:hAnsi="Calibri"/>
        </w:rPr>
      </w:pPr>
      <w:r w:rsidRPr="00FC6E6B">
        <w:rPr>
          <w:rFonts w:ascii="Calibri" w:hAnsi="Calibri"/>
        </w:rPr>
        <w:t>The dataset spans from January 1, 2020, to May 30, 2025 (1,365 trading days), covering 392 stocks. It comprises 535,080 records, each with 85 data fields, resulting in approximately 45.48 million data points. This rich dataset provides a robust foundation for empirical modeling, underscoring the practical value of time-series data in evaluating market efficiency, identifying volatility trends, and developing scientific risk management strategies [</w:t>
      </w:r>
      <w:r w:rsidR="0091379B">
        <w:rPr>
          <w:rFonts w:ascii="Calibri" w:hAnsi="Calibri"/>
        </w:rPr>
        <w:t>1</w:t>
      </w:r>
      <w:r w:rsidRPr="00FC6E6B">
        <w:rPr>
          <w:rFonts w:ascii="Calibri" w:hAnsi="Calibri"/>
        </w:rPr>
        <w:t>]</w:t>
      </w:r>
      <w:r w:rsidR="001C5E06" w:rsidRPr="00CB654C">
        <w:rPr>
          <w:rFonts w:ascii="Calibri" w:hAnsi="Calibri"/>
        </w:rPr>
        <w:t>.</w:t>
      </w:r>
    </w:p>
    <w:p w14:paraId="2DA9A3B8" w14:textId="4CE987FD" w:rsidR="00486202" w:rsidRPr="00486202" w:rsidRDefault="00486202" w:rsidP="00A80AC4">
      <w:pPr>
        <w:pStyle w:val="Text"/>
        <w:spacing w:before="120" w:after="60"/>
        <w:ind w:firstLine="204"/>
        <w:outlineLvl w:val="1"/>
        <w:rPr>
          <w:rFonts w:ascii="Calibri" w:hAnsi="Calibri"/>
          <w:i/>
          <w:iCs/>
        </w:rPr>
      </w:pPr>
      <w:r w:rsidRPr="00486202">
        <w:rPr>
          <w:rFonts w:ascii="Calibri" w:hAnsi="Calibri"/>
          <w:i/>
          <w:iCs/>
        </w:rPr>
        <w:t xml:space="preserve">B.   </w:t>
      </w:r>
      <w:r w:rsidR="000D632A" w:rsidRPr="000D632A">
        <w:rPr>
          <w:rFonts w:ascii="Calibri" w:hAnsi="Calibri"/>
          <w:i/>
          <w:iCs/>
        </w:rPr>
        <w:t>Model Framework</w:t>
      </w:r>
    </w:p>
    <w:p w14:paraId="2F79D986" w14:textId="77777777" w:rsidR="000D632A" w:rsidRPr="000D632A" w:rsidRDefault="000D632A" w:rsidP="000D632A">
      <w:pPr>
        <w:pStyle w:val="Text"/>
        <w:rPr>
          <w:rFonts w:ascii="Calibri" w:hAnsi="Calibri"/>
        </w:rPr>
      </w:pPr>
      <w:r w:rsidRPr="000D632A">
        <w:rPr>
          <w:rFonts w:ascii="Calibri" w:hAnsi="Calibri"/>
        </w:rPr>
        <w:t>The research integrates statistical and econometric techniques as follows:</w:t>
      </w:r>
    </w:p>
    <w:p w14:paraId="709AAF23" w14:textId="77777777" w:rsidR="000D632A" w:rsidRPr="000D632A" w:rsidRDefault="000D632A" w:rsidP="00A80AC4">
      <w:pPr>
        <w:pStyle w:val="Text"/>
        <w:spacing w:before="120" w:after="60"/>
        <w:ind w:firstLine="204"/>
        <w:rPr>
          <w:rFonts w:ascii="Calibri" w:hAnsi="Calibri"/>
        </w:rPr>
      </w:pPr>
      <w:r w:rsidRPr="000D632A">
        <w:rPr>
          <w:rFonts w:ascii="Calibri" w:hAnsi="Calibri"/>
        </w:rPr>
        <w:t>1. Descriptive &amp; Correlation Analysis</w:t>
      </w:r>
    </w:p>
    <w:p w14:paraId="05266FB9" w14:textId="6B2FACE9" w:rsidR="00486202" w:rsidRDefault="000D632A" w:rsidP="000D632A">
      <w:pPr>
        <w:pStyle w:val="Text"/>
        <w:rPr>
          <w:rFonts w:ascii="Calibri" w:hAnsi="Calibri"/>
        </w:rPr>
      </w:pPr>
      <w:r w:rsidRPr="000D632A">
        <w:rPr>
          <w:rFonts w:ascii="Calibri" w:hAnsi="Calibri"/>
        </w:rPr>
        <w:t>Compute Pearson correlation:</w:t>
      </w:r>
    </w:p>
    <w:p w14:paraId="45C42FB3" w14:textId="45F31312" w:rsidR="000D632A" w:rsidRPr="000D632A" w:rsidRDefault="00000000" w:rsidP="000D632A">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r</m:t>
                  </m:r>
                </m:e>
                <m:sub>
                  <m:r>
                    <w:rPr>
                      <w:rFonts w:ascii="Cambria Math" w:hAnsi="Cambria Math"/>
                    </w:rPr>
                    <m:t>xy</m:t>
                  </m:r>
                </m:sub>
              </m:sSub>
              <m:r>
                <w:rPr>
                  <w:rFonts w:ascii="Cambria Math" w:hAnsi="Cambria Math"/>
                </w:rPr>
                <m:t xml:space="preserve">= </m:t>
              </m:r>
              <m:f>
                <m:fPr>
                  <m:ctrlPr>
                    <w:rPr>
                      <w:rFonts w:ascii="Cambria Math" w:hAnsi="Cambria Math"/>
                      <w:i/>
                    </w:rPr>
                  </m:ctrlPr>
                </m:fPr>
                <m:num>
                  <m:nary>
                    <m:naryPr>
                      <m:chr m:val="∑"/>
                      <m:limLoc m:val="undOvr"/>
                      <m:subHide m:val="1"/>
                      <m:supHide m:val="1"/>
                      <m:ctrlPr>
                        <w:rPr>
                          <w:rFonts w:ascii="Cambria Math" w:hAnsi="Cambria Math"/>
                          <w:i/>
                        </w:rPr>
                      </m:ctrlPr>
                    </m:naryPr>
                    <m:sub/>
                    <m:sup/>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e>
                      </m:d>
                    </m:e>
                  </m:nary>
                </m:num>
                <m:den>
                  <m:rad>
                    <m:radPr>
                      <m:degHide m:val="1"/>
                      <m:ctrlPr>
                        <w:rPr>
                          <w:rFonts w:ascii="Cambria Math" w:hAnsi="Cambria Math"/>
                          <w:i/>
                        </w:rPr>
                      </m:ctrlPr>
                    </m:radPr>
                    <m:deg/>
                    <m:e>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e>
                            <m:sup>
                              <m:r>
                                <w:rPr>
                                  <w:rFonts w:ascii="Cambria Math" w:hAnsi="Cambria Math"/>
                                </w:rPr>
                                <m:t>2</m:t>
                              </m:r>
                            </m:sup>
                          </m:sSup>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e>
                                  </m:d>
                                </m:e>
                                <m:sup>
                                  <m:r>
                                    <w:rPr>
                                      <w:rFonts w:ascii="Cambria Math" w:hAnsi="Cambria Math"/>
                                    </w:rPr>
                                    <m:t>2</m:t>
                                  </m:r>
                                </m:sup>
                              </m:sSup>
                            </m:e>
                          </m:nary>
                        </m:e>
                      </m:nary>
                    </m:e>
                  </m:rad>
                </m:den>
              </m:f>
              <m:r>
                <w:rPr>
                  <w:rFonts w:ascii="Cambria Math" w:hAnsi="Cambria Math"/>
                </w:rPr>
                <m:t>#</m:t>
              </m:r>
              <m:d>
                <m:dPr>
                  <m:ctrlPr>
                    <w:rPr>
                      <w:rFonts w:ascii="Cambria Math" w:hAnsi="Cambria Math"/>
                      <w:i/>
                    </w:rPr>
                  </m:ctrlPr>
                </m:dPr>
                <m:e>
                  <m:r>
                    <w:rPr>
                      <w:rFonts w:ascii="Cambria Math" w:hAnsi="Cambria Math"/>
                    </w:rPr>
                    <m:t>10</m:t>
                  </m:r>
                </m:e>
              </m:d>
            </m:e>
          </m:eqArr>
        </m:oMath>
      </m:oMathPara>
    </w:p>
    <w:p w14:paraId="381F00E4" w14:textId="77777777" w:rsidR="00C9667F" w:rsidRDefault="00C9667F" w:rsidP="000D632A">
      <w:pPr>
        <w:pStyle w:val="Text"/>
        <w:rPr>
          <w:rFonts w:ascii="Calibri" w:hAnsi="Calibri"/>
        </w:rPr>
        <w:sectPr w:rsidR="00C9667F" w:rsidSect="003E1B3E">
          <w:headerReference w:type="even" r:id="rId8"/>
          <w:headerReference w:type="default" r:id="rId9"/>
          <w:footerReference w:type="even" r:id="rId10"/>
          <w:footerReference w:type="default" r:id="rId11"/>
          <w:headerReference w:type="first" r:id="rId12"/>
          <w:footerReference w:type="first" r:id="rId13"/>
          <w:pgSz w:w="11907" w:h="16839" w:code="9"/>
          <w:pgMar w:top="1008" w:right="936" w:bottom="1008" w:left="936" w:header="187" w:footer="216" w:gutter="0"/>
          <w:cols w:num="2" w:space="288"/>
        </w:sectPr>
      </w:pPr>
    </w:p>
    <w:p w14:paraId="2A6D39A2" w14:textId="48AA407B" w:rsidR="000D632A" w:rsidRDefault="000D632A" w:rsidP="00C9667F">
      <w:pPr>
        <w:pStyle w:val="Text"/>
        <w:jc w:val="center"/>
        <w:rPr>
          <w:rFonts w:ascii="Calibri" w:hAnsi="Calibri"/>
        </w:rPr>
      </w:pPr>
      <w:r w:rsidRPr="00CF33BF">
        <w:rPr>
          <w:noProof/>
        </w:rPr>
        <w:lastRenderedPageBreak/>
        <w:drawing>
          <wp:inline distT="0" distB="0" distL="0" distR="0" wp14:anchorId="46787FAE" wp14:editId="3F552C5B">
            <wp:extent cx="4046220" cy="3478293"/>
            <wp:effectExtent l="0" t="0" r="0" b="8255"/>
            <wp:docPr id="349403364" name="Picture 1" descr="A chart with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03364" name="Picture 1" descr="A chart with different colors&#10;&#10;AI-generated content may be incorrect."/>
                    <pic:cNvPicPr/>
                  </pic:nvPicPr>
                  <pic:blipFill>
                    <a:blip r:embed="rId14"/>
                    <a:stretch>
                      <a:fillRect/>
                    </a:stretch>
                  </pic:blipFill>
                  <pic:spPr>
                    <a:xfrm>
                      <a:off x="0" y="0"/>
                      <a:ext cx="4059361" cy="3489589"/>
                    </a:xfrm>
                    <a:prstGeom prst="rect">
                      <a:avLst/>
                    </a:prstGeom>
                  </pic:spPr>
                </pic:pic>
              </a:graphicData>
            </a:graphic>
          </wp:inline>
        </w:drawing>
      </w:r>
    </w:p>
    <w:p w14:paraId="5838D854" w14:textId="13059326" w:rsidR="00F03142" w:rsidRDefault="00F03142" w:rsidP="00F03142">
      <w:pPr>
        <w:pStyle w:val="Text"/>
        <w:jc w:val="center"/>
        <w:rPr>
          <w:rFonts w:ascii="Calibri" w:hAnsi="Calibri"/>
        </w:rPr>
      </w:pPr>
      <w:r w:rsidRPr="00F03142">
        <w:rPr>
          <w:rFonts w:ascii="Calibri" w:hAnsi="Calibri"/>
        </w:rPr>
        <w:t>Fig.</w:t>
      </w:r>
      <w:r>
        <w:rPr>
          <w:rFonts w:ascii="Calibri" w:hAnsi="Calibri"/>
        </w:rPr>
        <w:t xml:space="preserve">1 </w:t>
      </w:r>
      <w:r w:rsidRPr="00F03142">
        <w:rPr>
          <w:rFonts w:ascii="Calibri" w:hAnsi="Calibri"/>
        </w:rPr>
        <w:t>Cross-Sectoral Correlation Matrix</w:t>
      </w:r>
    </w:p>
    <w:p w14:paraId="1871FA68" w14:textId="77777777" w:rsidR="00C9667F" w:rsidRDefault="00C9667F" w:rsidP="00A80AC4">
      <w:pPr>
        <w:pStyle w:val="Text"/>
        <w:spacing w:before="120" w:after="60"/>
        <w:ind w:firstLine="204"/>
        <w:rPr>
          <w:rFonts w:ascii="Calibri" w:hAnsi="Calibri"/>
        </w:rPr>
        <w:sectPr w:rsidR="00C9667F" w:rsidSect="00C9667F">
          <w:type w:val="continuous"/>
          <w:pgSz w:w="11907" w:h="16839" w:code="9"/>
          <w:pgMar w:top="1008" w:right="936" w:bottom="1008" w:left="936" w:header="187" w:footer="216" w:gutter="0"/>
          <w:cols w:space="288"/>
        </w:sectPr>
      </w:pPr>
    </w:p>
    <w:p w14:paraId="336A3B99" w14:textId="15BD9482" w:rsidR="00F03142" w:rsidRPr="00F03142" w:rsidRDefault="00F03142" w:rsidP="00A80AC4">
      <w:pPr>
        <w:pStyle w:val="Text"/>
        <w:spacing w:before="120" w:after="60"/>
        <w:ind w:firstLine="204"/>
        <w:rPr>
          <w:rFonts w:ascii="Calibri" w:hAnsi="Calibri"/>
        </w:rPr>
      </w:pPr>
      <w:r w:rsidRPr="00F03142">
        <w:rPr>
          <w:rFonts w:ascii="Calibri" w:hAnsi="Calibri"/>
        </w:rPr>
        <w:t>2. Regression Models</w:t>
      </w:r>
    </w:p>
    <w:p w14:paraId="6707882D" w14:textId="0D7D29E9" w:rsidR="00F03142" w:rsidRDefault="00F03142" w:rsidP="00F03142">
      <w:pPr>
        <w:pStyle w:val="Text"/>
        <w:rPr>
          <w:rFonts w:ascii="Calibri" w:hAnsi="Calibri"/>
        </w:rPr>
      </w:pPr>
      <w:r w:rsidRPr="00F03142">
        <w:rPr>
          <w:rFonts w:ascii="Calibri" w:hAnsi="Calibri"/>
        </w:rPr>
        <w:t>Linear model:</w:t>
      </w:r>
    </w:p>
    <w:p w14:paraId="305F59D9" w14:textId="70ACA812" w:rsidR="00F03142" w:rsidRPr="00F03142" w:rsidRDefault="00000000" w:rsidP="00F03142">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1</m:t>
                  </m:r>
                </m:sub>
              </m:sSub>
              <m:sSub>
                <m:sSubPr>
                  <m:ctrlPr>
                    <w:rPr>
                      <w:rFonts w:ascii="Cambria Math" w:hAnsi="Cambria Math"/>
                    </w:rPr>
                  </m:ctrlPr>
                </m:sSubPr>
                <m:e>
                  <m:r>
                    <w:rPr>
                      <w:rFonts w:ascii="Cambria Math" w:hAnsi="Cambria Math"/>
                    </w:rPr>
                    <m:t>X</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2</m:t>
                  </m:r>
                </m:sub>
              </m:sSub>
              <m:sSub>
                <m:sSubPr>
                  <m:ctrlPr>
                    <w:rPr>
                      <w:rFonts w:ascii="Cambria Math" w:hAnsi="Cambria Math"/>
                    </w:rPr>
                  </m:ctrlPr>
                </m:sSubPr>
                <m:e>
                  <m:r>
                    <w:rPr>
                      <w:rFonts w:ascii="Cambria Math" w:hAnsi="Cambria Math"/>
                    </w:rPr>
                    <m:t>X</m:t>
                  </m:r>
                </m:e>
                <m:sub>
                  <m:r>
                    <m:rPr>
                      <m:sty m:val="p"/>
                    </m:rPr>
                    <w:rPr>
                      <w:rFonts w:ascii="Cambria Math" w:hAnsi="Cambria Math"/>
                    </w:rPr>
                    <m:t>2</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11</m:t>
                  </m:r>
                </m:e>
              </m:d>
            </m:e>
          </m:eqArr>
        </m:oMath>
      </m:oMathPara>
    </w:p>
    <w:p w14:paraId="04B49FD5" w14:textId="43FCD7E6" w:rsidR="00F03142" w:rsidRPr="00F03142" w:rsidRDefault="00F03142" w:rsidP="00F03142">
      <w:pPr>
        <w:pStyle w:val="Text"/>
        <w:rPr>
          <w:rFonts w:ascii="Calibri" w:hAnsi="Calibri"/>
        </w:rPr>
      </w:pPr>
      <w:r w:rsidRPr="00F03142">
        <w:rPr>
          <w:rFonts w:ascii="Calibri" w:hAnsi="Calibri"/>
        </w:rPr>
        <w:t>Evaluate statistical significance via R², t-test, p-value.</w:t>
      </w:r>
    </w:p>
    <w:p w14:paraId="17D4E3E6" w14:textId="20645425" w:rsidR="00F03142" w:rsidRDefault="00F03142" w:rsidP="00A80AC4">
      <w:pPr>
        <w:pStyle w:val="Text"/>
        <w:spacing w:before="120" w:after="60"/>
        <w:ind w:firstLine="204"/>
        <w:rPr>
          <w:rFonts w:ascii="Calibri" w:hAnsi="Calibri"/>
        </w:rPr>
      </w:pPr>
      <w:r w:rsidRPr="00F03142">
        <w:rPr>
          <w:rFonts w:ascii="Calibri" w:hAnsi="Calibri"/>
        </w:rPr>
        <w:t>3. GARCH Model (Engle, 1982; Bollerslev, 1986):</w:t>
      </w:r>
    </w:p>
    <w:p w14:paraId="7489E7C5" w14:textId="186EB670" w:rsidR="00F03142" w:rsidRPr="00F03142" w:rsidRDefault="00000000" w:rsidP="00F03142">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r>
                <w:rPr>
                  <w:rFonts w:ascii="Cambria Math" w:hAnsi="Cambria Math"/>
                </w:rPr>
                <m:t>μ</m:t>
              </m:r>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ε</m:t>
                  </m:r>
                </m:e>
                <m:sub>
                  <m:r>
                    <w:rPr>
                      <w:rFonts w:ascii="Cambria Math" w:hAnsi="Cambria Math"/>
                    </w:rPr>
                    <m:t>t</m:t>
                  </m:r>
                </m:sub>
              </m:sSub>
              <m:r>
                <m:rPr>
                  <m:sty m:val="p"/>
                </m:rPr>
                <w:rPr>
                  <w:rFonts w:ascii="Cambria Math" w:hAnsi="Cambria Math"/>
                </w:rPr>
                <m:t>~</m:t>
              </m:r>
              <m:r>
                <w:rPr>
                  <w:rFonts w:ascii="Cambria Math" w:hAnsi="Cambria Math"/>
                </w:rPr>
                <m:t>N</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h</m:t>
                      </m:r>
                    </m:e>
                    <m:sub>
                      <m:r>
                        <w:rPr>
                          <w:rFonts w:ascii="Cambria Math" w:hAnsi="Cambria Math"/>
                        </w:rPr>
                        <m:t>t</m:t>
                      </m:r>
                    </m:sub>
                  </m:sSub>
                </m:e>
              </m:d>
              <m:r>
                <w:rPr>
                  <w:rFonts w:ascii="Cambria Math" w:hAnsi="Cambria Math"/>
                </w:rPr>
                <m:t>#</m:t>
              </m:r>
              <m:d>
                <m:dPr>
                  <m:ctrlPr>
                    <w:rPr>
                      <w:rFonts w:ascii="Cambria Math" w:hAnsi="Cambria Math"/>
                      <w:i/>
                    </w:rPr>
                  </m:ctrlPr>
                </m:dPr>
                <m:e>
                  <m:r>
                    <w:rPr>
                      <w:rFonts w:ascii="Cambria Math" w:hAnsi="Cambria Math"/>
                    </w:rPr>
                    <m:t>12</m:t>
                  </m:r>
                </m:e>
              </m:d>
            </m:e>
          </m:eqArr>
        </m:oMath>
      </m:oMathPara>
    </w:p>
    <w:p w14:paraId="528DD2E5" w14:textId="24280EC9" w:rsidR="00F03142" w:rsidRPr="00F03142" w:rsidRDefault="00000000" w:rsidP="00F03142">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h</m:t>
                  </m:r>
                </m:e>
                <m:sub>
                  <m:r>
                    <w:rPr>
                      <w:rFonts w:ascii="Cambria Math" w:hAnsi="Cambria Math"/>
                    </w:rPr>
                    <m:t>t</m:t>
                  </m:r>
                </m:sub>
              </m:sSub>
              <m:r>
                <m:rPr>
                  <m:sty m:val="p"/>
                </m:rPr>
                <w:rPr>
                  <w:rFonts w:ascii="Cambria Math" w:hAnsi="Cambria Math"/>
                </w:rPr>
                <m:t>=</m:t>
              </m:r>
              <m:r>
                <w:rPr>
                  <w:rFonts w:ascii="Cambria Math" w:hAnsi="Cambria Math"/>
                </w:rPr>
                <m:t>ω</m:t>
              </m:r>
              <m:r>
                <m:rPr>
                  <m:sty m:val="p"/>
                </m:rPr>
                <w:rPr>
                  <w:rFonts w:ascii="Cambria Math" w:hAnsi="Cambria Math"/>
                </w:rPr>
                <m:t>+</m:t>
              </m:r>
              <m:r>
                <w:rPr>
                  <w:rFonts w:ascii="Cambria Math" w:hAnsi="Cambria Math"/>
                </w:rPr>
                <m:t>α</m:t>
              </m:r>
              <m:sSubSup>
                <m:sSubSupPr>
                  <m:ctrlPr>
                    <w:rPr>
                      <w:rFonts w:ascii="Cambria Math" w:hAnsi="Cambria Math"/>
                    </w:rPr>
                  </m:ctrlPr>
                </m:sSubSupPr>
                <m:e>
                  <m:r>
                    <w:rPr>
                      <w:rFonts w:ascii="Cambria Math" w:hAnsi="Cambria Math"/>
                    </w:rPr>
                    <m:t>ε</m:t>
                  </m:r>
                </m:e>
                <m:sub>
                  <m:r>
                    <w:rPr>
                      <w:rFonts w:ascii="Cambria Math" w:hAnsi="Cambria Math"/>
                    </w:rPr>
                    <m:t>t</m:t>
                  </m:r>
                  <m:r>
                    <m:rPr>
                      <m:sty m:val="p"/>
                    </m:rPr>
                    <w:rPr>
                      <w:rFonts w:ascii="Cambria Math" w:hAnsi="Cambria Math"/>
                    </w:rPr>
                    <m:t>-1</m:t>
                  </m:r>
                </m:sub>
                <m:sup>
                  <m:r>
                    <w:rPr>
                      <w:rFonts w:ascii="Cambria Math" w:hAnsi="Cambria Math"/>
                    </w:rPr>
                    <m:t>t</m:t>
                  </m:r>
                </m:sup>
              </m:sSubSup>
              <m:r>
                <m:rPr>
                  <m:sty m:val="p"/>
                </m:rPr>
                <w:rPr>
                  <w:rFonts w:ascii="Cambria Math" w:hAnsi="Cambria Math"/>
                </w:rPr>
                <m:t>+</m:t>
              </m:r>
              <m:r>
                <w:rPr>
                  <w:rFonts w:ascii="Cambria Math" w:hAnsi="Cambria Math"/>
                </w:rPr>
                <m:t>β</m:t>
              </m:r>
              <m:sSub>
                <m:sSubPr>
                  <m:ctrlPr>
                    <w:rPr>
                      <w:rFonts w:ascii="Cambria Math" w:hAnsi="Cambria Math"/>
                    </w:rPr>
                  </m:ctrlPr>
                </m:sSubPr>
                <m:e>
                  <m:r>
                    <w:rPr>
                      <w:rFonts w:ascii="Cambria Math" w:hAnsi="Cambria Math"/>
                    </w:rPr>
                    <m:t>h</m:t>
                  </m:r>
                </m:e>
                <m:sub>
                  <m:r>
                    <w:rPr>
                      <w:rFonts w:ascii="Cambria Math" w:hAnsi="Cambria Math"/>
                    </w:rPr>
                    <m:t>t</m:t>
                  </m:r>
                  <m:r>
                    <m:rPr>
                      <m:sty m:val="p"/>
                    </m:rPr>
                    <w:rPr>
                      <w:rFonts w:ascii="Cambria Math" w:hAnsi="Cambria Math"/>
                    </w:rPr>
                    <m:t>-1</m:t>
                  </m:r>
                </m:sub>
              </m:sSub>
              <m:r>
                <w:rPr>
                  <w:rFonts w:ascii="Cambria Math" w:hAnsi="Cambria Math"/>
                </w:rPr>
                <m:t>#</m:t>
              </m:r>
              <m:d>
                <m:dPr>
                  <m:ctrlPr>
                    <w:rPr>
                      <w:rFonts w:ascii="Cambria Math" w:hAnsi="Cambria Math"/>
                      <w:i/>
                    </w:rPr>
                  </m:ctrlPr>
                </m:dPr>
                <m:e>
                  <m:r>
                    <w:rPr>
                      <w:rFonts w:ascii="Cambria Math" w:hAnsi="Cambria Math"/>
                    </w:rPr>
                    <m:t>13</m:t>
                  </m:r>
                </m:e>
              </m:d>
            </m:e>
          </m:eqArr>
        </m:oMath>
      </m:oMathPara>
    </w:p>
    <w:p w14:paraId="31D548E0" w14:textId="77777777" w:rsidR="00A80AC4" w:rsidRPr="00A80AC4" w:rsidRDefault="00A80AC4" w:rsidP="00A80AC4">
      <w:pPr>
        <w:pStyle w:val="Text"/>
        <w:rPr>
          <w:rFonts w:ascii="Calibri" w:hAnsi="Calibri"/>
        </w:rPr>
      </w:pPr>
      <w:r w:rsidRPr="00A80AC4">
        <w:rPr>
          <w:rFonts w:ascii="Calibri" w:hAnsi="Calibri"/>
        </w:rPr>
        <w:t>Captures volatility clustering and heteroskedasticity in stock returns.</w:t>
      </w:r>
    </w:p>
    <w:p w14:paraId="33DBAE33" w14:textId="5E599144" w:rsidR="00F03142" w:rsidRDefault="00A80AC4" w:rsidP="00A80AC4">
      <w:pPr>
        <w:pStyle w:val="Text"/>
        <w:spacing w:before="120" w:after="60"/>
        <w:ind w:firstLine="204"/>
        <w:rPr>
          <w:rFonts w:ascii="Calibri" w:hAnsi="Calibri"/>
        </w:rPr>
      </w:pPr>
      <w:r w:rsidRPr="00A80AC4">
        <w:rPr>
          <w:rFonts w:ascii="Calibri" w:hAnsi="Calibri"/>
        </w:rPr>
        <w:t>4. VAR Model (Vector Autoregression):</w:t>
      </w:r>
    </w:p>
    <w:p w14:paraId="41BAFCE7" w14:textId="050ECD18" w:rsidR="00A80AC4" w:rsidRPr="00A80AC4" w:rsidRDefault="00000000" w:rsidP="00A80AC4">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Y</m:t>
                  </m:r>
                </m:e>
                <m:sub>
                  <m:r>
                    <w:rPr>
                      <w:rFonts w:ascii="Cambria Math" w:hAnsi="Cambria Math"/>
                    </w:rPr>
                    <m:t>t</m:t>
                  </m:r>
                </m:sub>
              </m:sSub>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p</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14</m:t>
                  </m:r>
                </m:e>
              </m:d>
            </m:e>
          </m:eqArr>
        </m:oMath>
      </m:oMathPara>
    </w:p>
    <w:p w14:paraId="2BA19196" w14:textId="1DBA0A07" w:rsidR="00A80AC4" w:rsidRDefault="00A80AC4" w:rsidP="00A80AC4">
      <w:pPr>
        <w:pStyle w:val="Text"/>
        <w:rPr>
          <w:rFonts w:ascii="Calibri" w:hAnsi="Calibri"/>
        </w:rPr>
      </w:pPr>
      <w:r w:rsidRPr="00A80AC4">
        <w:rPr>
          <w:rFonts w:ascii="Calibri" w:hAnsi="Calibri"/>
        </w:rPr>
        <w:t>Used to assess inter-sector dependencies and foreign capital influence</w:t>
      </w:r>
      <w:r>
        <w:rPr>
          <w:rFonts w:ascii="Calibri" w:hAnsi="Calibri"/>
        </w:rPr>
        <w:t>.</w:t>
      </w:r>
    </w:p>
    <w:p w14:paraId="52900A8C" w14:textId="1127AEF5" w:rsidR="00A80AC4" w:rsidRPr="00A80AC4" w:rsidRDefault="00A80AC4" w:rsidP="00A80AC4">
      <w:pPr>
        <w:pStyle w:val="Text"/>
        <w:spacing w:before="120" w:after="60"/>
        <w:ind w:firstLine="204"/>
        <w:outlineLvl w:val="1"/>
        <w:rPr>
          <w:rFonts w:ascii="Calibri" w:hAnsi="Calibri"/>
          <w:i/>
          <w:iCs/>
        </w:rPr>
      </w:pPr>
      <w:r w:rsidRPr="00A80AC4">
        <w:rPr>
          <w:rFonts w:ascii="Calibri" w:hAnsi="Calibri"/>
          <w:i/>
          <w:iCs/>
        </w:rPr>
        <w:t>C.   Data visualization techniques</w:t>
      </w:r>
    </w:p>
    <w:p w14:paraId="0268C786" w14:textId="1E4184DF" w:rsidR="00A80AC4" w:rsidRPr="00A80AC4" w:rsidRDefault="00A80AC4" w:rsidP="00A80AC4">
      <w:pPr>
        <w:pStyle w:val="Text"/>
        <w:rPr>
          <w:rFonts w:ascii="Calibri" w:hAnsi="Calibri"/>
        </w:rPr>
      </w:pPr>
      <w:r w:rsidRPr="00A80AC4">
        <w:rPr>
          <w:rFonts w:ascii="Calibri" w:hAnsi="Calibri"/>
        </w:rPr>
        <w:t>To convey a multidimensional perspective and present complex research findings in a simplified, comprehensible manner to decision-makers, data visualization is employed, thereby imparting concrete practical significance [</w:t>
      </w:r>
      <w:r w:rsidR="0063433C">
        <w:rPr>
          <w:rFonts w:ascii="Calibri" w:hAnsi="Calibri"/>
        </w:rPr>
        <w:t>4</w:t>
      </w:r>
      <w:r w:rsidRPr="00A80AC4">
        <w:rPr>
          <w:rFonts w:ascii="Calibri" w:hAnsi="Calibri"/>
        </w:rPr>
        <w:t>].</w:t>
      </w:r>
    </w:p>
    <w:p w14:paraId="08BB1029" w14:textId="1E7E7238" w:rsidR="00A80AC4" w:rsidRPr="00D31797" w:rsidRDefault="00A80AC4" w:rsidP="00A80AC4">
      <w:pPr>
        <w:pStyle w:val="Text"/>
        <w:rPr>
          <w:rFonts w:ascii="Calibri" w:hAnsi="Calibri"/>
          <w:color w:val="000000" w:themeColor="text1"/>
        </w:rPr>
      </w:pPr>
      <w:r w:rsidRPr="00A80AC4">
        <w:rPr>
          <w:rFonts w:ascii="Calibri" w:hAnsi="Calibri"/>
        </w:rPr>
        <w:t xml:space="preserve">The results from each analytical task are interpreted through scientific graphs (e.g., scatter plots, box plots, time-series line charts), annotated tables, and </w:t>
      </w:r>
      <w:r w:rsidR="00890CCC" w:rsidRPr="00D31797">
        <w:rPr>
          <w:rFonts w:ascii="Calibri" w:hAnsi="Calibri"/>
          <w:color w:val="000000" w:themeColor="text1"/>
        </w:rPr>
        <w:t>the diagrams are clearly labeled to enhance interpretability</w:t>
      </w:r>
      <w:r w:rsidRPr="00D31797">
        <w:rPr>
          <w:rFonts w:ascii="Calibri" w:hAnsi="Calibri"/>
          <w:color w:val="000000" w:themeColor="text1"/>
        </w:rPr>
        <w:t>.</w:t>
      </w:r>
    </w:p>
    <w:p w14:paraId="6D6B7641" w14:textId="077770FE" w:rsidR="00A80AC4" w:rsidRDefault="00A80AC4" w:rsidP="00A80AC4">
      <w:pPr>
        <w:pStyle w:val="Text"/>
        <w:rPr>
          <w:rFonts w:ascii="Calibri" w:hAnsi="Calibri"/>
        </w:rPr>
      </w:pPr>
      <w:r w:rsidRPr="00A80AC4">
        <w:rPr>
          <w:rFonts w:ascii="Calibri" w:hAnsi="Calibri"/>
        </w:rPr>
        <w:t>The key findings are subsequently synthesized into a rigorously structured scientific report, comprising the following sections: problem statement, methodology, results, discussion, and conclusion. This report is designed to constitute a vital contribution to the evidence-based literature, thereby bridging the gap between analytical insights and practical application</w:t>
      </w:r>
      <w:r w:rsidR="002248FB">
        <w:rPr>
          <w:rFonts w:ascii="Calibri" w:hAnsi="Calibri"/>
        </w:rPr>
        <w:t xml:space="preserve"> </w:t>
      </w:r>
      <w:r w:rsidR="002248FB" w:rsidRPr="00D31797">
        <w:rPr>
          <w:rFonts w:ascii="Calibri" w:hAnsi="Calibri"/>
          <w:color w:val="000000" w:themeColor="text1"/>
        </w:rPr>
        <w:t>(Fig.2</w:t>
      </w:r>
      <w:r w:rsidR="00890CCC" w:rsidRPr="00D31797">
        <w:rPr>
          <w:color w:val="000000" w:themeColor="text1"/>
        </w:rPr>
        <w:t xml:space="preserve"> </w:t>
      </w:r>
      <w:r w:rsidR="00890CCC" w:rsidRPr="00D31797">
        <w:rPr>
          <w:rFonts w:ascii="Calibri" w:hAnsi="Calibri"/>
          <w:color w:val="000000" w:themeColor="text1"/>
        </w:rPr>
        <w:t xml:space="preserve">provides an overview </w:t>
      </w:r>
      <w:r w:rsidR="00890CCC" w:rsidRPr="00D31797">
        <w:rPr>
          <w:rFonts w:ascii="Calibri" w:hAnsi="Calibri"/>
          <w:color w:val="000000" w:themeColor="text1"/>
        </w:rPr>
        <w:t>of the system architecture</w:t>
      </w:r>
      <w:r w:rsidR="00890CCC">
        <w:rPr>
          <w:rFonts w:ascii="Calibri" w:hAnsi="Calibri"/>
        </w:rPr>
        <w:t>)</w:t>
      </w:r>
      <w:r>
        <w:rPr>
          <w:rFonts w:ascii="Calibri" w:hAnsi="Calibri"/>
        </w:rPr>
        <w:t>.</w:t>
      </w:r>
    </w:p>
    <w:p w14:paraId="50E49ECA" w14:textId="77777777" w:rsidR="00A80AC4" w:rsidRDefault="00A80AC4" w:rsidP="00A80AC4">
      <w:pPr>
        <w:pStyle w:val="Text"/>
        <w:rPr>
          <w:rFonts w:ascii="Calibri" w:hAnsi="Calibri"/>
        </w:rPr>
      </w:pPr>
      <w:r w:rsidRPr="000C4D88">
        <w:rPr>
          <w:noProof/>
        </w:rPr>
        <w:drawing>
          <wp:inline distT="0" distB="0" distL="0" distR="0" wp14:anchorId="17CBC006" wp14:editId="76D51A94">
            <wp:extent cx="3094355" cy="1173586"/>
            <wp:effectExtent l="0" t="0" r="0" b="7620"/>
            <wp:docPr id="1535683714" name="Picture 1" descr="A diagram of data analysi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683714" name="Picture 1" descr="A diagram of data analysis&#10;&#10;AI-generated content may be incorrect."/>
                    <pic:cNvPicPr/>
                  </pic:nvPicPr>
                  <pic:blipFill>
                    <a:blip r:embed="rId15"/>
                    <a:stretch>
                      <a:fillRect/>
                    </a:stretch>
                  </pic:blipFill>
                  <pic:spPr>
                    <a:xfrm>
                      <a:off x="0" y="0"/>
                      <a:ext cx="3094355" cy="1173586"/>
                    </a:xfrm>
                    <a:prstGeom prst="rect">
                      <a:avLst/>
                    </a:prstGeom>
                  </pic:spPr>
                </pic:pic>
              </a:graphicData>
            </a:graphic>
          </wp:inline>
        </w:drawing>
      </w:r>
    </w:p>
    <w:p w14:paraId="104B98B1" w14:textId="33E56627" w:rsidR="00A80AC4" w:rsidRPr="00A80AC4" w:rsidRDefault="00A80AC4" w:rsidP="00881742">
      <w:pPr>
        <w:pStyle w:val="Text"/>
        <w:jc w:val="center"/>
        <w:rPr>
          <w:rFonts w:ascii="Calibri" w:hAnsi="Calibri"/>
        </w:rPr>
      </w:pPr>
      <w:r w:rsidRPr="00F03142">
        <w:rPr>
          <w:rFonts w:ascii="Calibri" w:hAnsi="Calibri"/>
        </w:rPr>
        <w:t>Fig.</w:t>
      </w:r>
      <w:r>
        <w:rPr>
          <w:rFonts w:ascii="Calibri" w:hAnsi="Calibri"/>
        </w:rPr>
        <w:t xml:space="preserve">2 </w:t>
      </w:r>
      <w:r w:rsidRPr="00A80AC4">
        <w:rPr>
          <w:rFonts w:ascii="Calibri" w:hAnsi="Calibri"/>
        </w:rPr>
        <w:t>System overview diagram</w:t>
      </w:r>
    </w:p>
    <w:p w14:paraId="4E25F0A0" w14:textId="2376DD81" w:rsidR="001C5E06" w:rsidRPr="00CB654C" w:rsidRDefault="00A80AC4" w:rsidP="00881742">
      <w:pPr>
        <w:pStyle w:val="Heading1"/>
      </w:pPr>
      <w:r w:rsidRPr="00A80AC4">
        <w:t>Experiments</w:t>
      </w:r>
    </w:p>
    <w:p w14:paraId="2E31B003" w14:textId="52931C74" w:rsidR="00A80AC4" w:rsidRDefault="00A80AC4" w:rsidP="00A80AC4">
      <w:pPr>
        <w:pStyle w:val="Text"/>
        <w:rPr>
          <w:rFonts w:ascii="Calibri" w:hAnsi="Calibri"/>
        </w:rPr>
      </w:pPr>
      <w:r w:rsidRPr="00A80AC4">
        <w:rPr>
          <w:rFonts w:ascii="Calibri" w:hAnsi="Calibri"/>
        </w:rPr>
        <w:t>To empirically validate the proposed quantitative framework, four major analytical problems were conducted using HOSE stock data (2020–2025). Each problem represents a distinct modeling objective and employs advanced econometric or technical tools to quantify market behaviors</w:t>
      </w:r>
      <w:r w:rsidR="001C5E06" w:rsidRPr="00CB654C">
        <w:rPr>
          <w:rFonts w:ascii="Calibri" w:hAnsi="Calibri"/>
        </w:rPr>
        <w:t xml:space="preserve">. </w:t>
      </w:r>
    </w:p>
    <w:p w14:paraId="59AB0197" w14:textId="78A56264" w:rsidR="001C5E06" w:rsidRDefault="00A80AC4" w:rsidP="00A80AC4">
      <w:pPr>
        <w:pStyle w:val="Text"/>
        <w:spacing w:before="120" w:after="60"/>
        <w:ind w:firstLine="204"/>
        <w:outlineLvl w:val="1"/>
        <w:rPr>
          <w:rFonts w:ascii="Calibri" w:hAnsi="Calibri"/>
          <w:i/>
          <w:iCs/>
        </w:rPr>
      </w:pPr>
      <w:r w:rsidRPr="00A80AC4">
        <w:rPr>
          <w:rFonts w:ascii="Calibri" w:hAnsi="Calibri"/>
          <w:i/>
          <w:iCs/>
        </w:rPr>
        <w:t>A.   Sector Rotation and Cross-Correlation Analysis</w:t>
      </w:r>
    </w:p>
    <w:p w14:paraId="3B1B7A13" w14:textId="35B49244" w:rsidR="00A80AC4" w:rsidRDefault="00A80AC4" w:rsidP="00A80AC4">
      <w:pPr>
        <w:pStyle w:val="Text"/>
        <w:rPr>
          <w:rFonts w:ascii="Calibri" w:hAnsi="Calibri"/>
        </w:rPr>
      </w:pPr>
      <w:r w:rsidRPr="00A80AC4">
        <w:rPr>
          <w:rFonts w:ascii="Calibri" w:hAnsi="Calibri"/>
        </w:rPr>
        <w:t>The first task explores the interdependence among industry sectors through the cross-correlation function</w:t>
      </w:r>
      <w:r>
        <w:rPr>
          <w:rFonts w:ascii="Calibri" w:hAnsi="Calibri"/>
        </w:rPr>
        <w:t>:</w:t>
      </w:r>
    </w:p>
    <w:p w14:paraId="46A3E922" w14:textId="01EA007F" w:rsidR="00A80AC4" w:rsidRPr="00A80AC4" w:rsidRDefault="00000000" w:rsidP="00A80AC4">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ρ</m:t>
                  </m:r>
                </m:e>
                <m:sub>
                  <m:r>
                    <w:rPr>
                      <w:rFonts w:ascii="Cambria Math" w:hAnsi="Cambria Math"/>
                    </w:rPr>
                    <m:t>xy</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t</m:t>
                      </m:r>
                    </m:sub>
                    <m:sup/>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t</m:t>
                              </m:r>
                            </m:sub>
                          </m:sSub>
                          <m:r>
                            <m:rPr>
                              <m:sty m:val="p"/>
                            </m:rPr>
                            <w:rPr>
                              <w:rFonts w:ascii="Cambria Math" w:hAnsi="Cambria Math"/>
                            </w:rPr>
                            <m:t>-</m:t>
                          </m:r>
                          <m:acc>
                            <m:accPr>
                              <m:chr m:val="̅"/>
                              <m:ctrlPr>
                                <w:rPr>
                                  <w:rFonts w:ascii="Cambria Math" w:hAnsi="Cambria Math"/>
                                </w:rPr>
                              </m:ctrlPr>
                            </m:accPr>
                            <m:e>
                              <m:r>
                                <w:rPr>
                                  <w:rFonts w:ascii="Cambria Math" w:hAnsi="Cambria Math"/>
                                </w:rPr>
                                <m:t>x</m:t>
                              </m:r>
                            </m:e>
                          </m:acc>
                        </m:e>
                      </m:d>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k</m:t>
                              </m:r>
                            </m:sub>
                          </m:sSub>
                          <m:r>
                            <m:rPr>
                              <m:sty m:val="p"/>
                            </m:rPr>
                            <w:rPr>
                              <w:rFonts w:ascii="Cambria Math" w:hAnsi="Cambria Math"/>
                            </w:rPr>
                            <m:t>-</m:t>
                          </m:r>
                          <m:acc>
                            <m:accPr>
                              <m:chr m:val="̅"/>
                              <m:ctrlPr>
                                <w:rPr>
                                  <w:rFonts w:ascii="Cambria Math" w:hAnsi="Cambria Math"/>
                                </w:rPr>
                              </m:ctrlPr>
                            </m:accPr>
                            <m:e>
                              <m:r>
                                <w:rPr>
                                  <w:rFonts w:ascii="Cambria Math" w:hAnsi="Cambria Math"/>
                                </w:rPr>
                                <m:t>y</m:t>
                              </m:r>
                            </m:e>
                          </m:acc>
                        </m:e>
                      </m:d>
                    </m:e>
                  </m:nary>
                </m:num>
                <m:den>
                  <m:rad>
                    <m:radPr>
                      <m:degHide m:val="1"/>
                      <m:ctrlPr>
                        <w:rPr>
                          <w:rFonts w:ascii="Cambria Math" w:hAnsi="Cambria Math"/>
                        </w:rPr>
                      </m:ctrlPr>
                    </m:radPr>
                    <m:deg/>
                    <m:e>
                      <m:nary>
                        <m:naryPr>
                          <m:chr m:val="∑"/>
                          <m:limLoc m:val="subSup"/>
                          <m:supHide m:val="1"/>
                          <m:ctrlPr>
                            <w:rPr>
                              <w:rFonts w:ascii="Cambria Math" w:hAnsi="Cambria Math"/>
                            </w:rPr>
                          </m:ctrlPr>
                        </m:naryPr>
                        <m:sub>
                          <m:r>
                            <w:rPr>
                              <w:rFonts w:ascii="Cambria Math" w:hAnsi="Cambria Math"/>
                            </w:rPr>
                            <m:t>t</m:t>
                          </m:r>
                        </m:sub>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t</m:t>
                                      </m:r>
                                    </m:sub>
                                  </m:sSub>
                                  <m:r>
                                    <m:rPr>
                                      <m:sty m:val="p"/>
                                    </m:rPr>
                                    <w:rPr>
                                      <w:rFonts w:ascii="Cambria Math" w:hAnsi="Cambria Math"/>
                                    </w:rPr>
                                    <m:t>-</m:t>
                                  </m:r>
                                  <m:acc>
                                    <m:accPr>
                                      <m:chr m:val="̅"/>
                                      <m:ctrlPr>
                                        <w:rPr>
                                          <w:rFonts w:ascii="Cambria Math" w:hAnsi="Cambria Math"/>
                                        </w:rPr>
                                      </m:ctrlPr>
                                    </m:accPr>
                                    <m:e>
                                      <m:r>
                                        <w:rPr>
                                          <w:rFonts w:ascii="Cambria Math" w:hAnsi="Cambria Math"/>
                                        </w:rPr>
                                        <m:t>x</m:t>
                                      </m:r>
                                    </m:e>
                                  </m:acc>
                                </m:e>
                              </m:d>
                            </m:e>
                            <m:sup>
                              <m:r>
                                <m:rPr>
                                  <m:sty m:val="p"/>
                                </m:rPr>
                                <w:rPr>
                                  <w:rFonts w:ascii="Cambria Math" w:hAnsi="Cambria Math"/>
                                </w:rPr>
                                <m:t>2</m:t>
                              </m:r>
                            </m:sup>
                          </m:sSup>
                          <m:nary>
                            <m:naryPr>
                              <m:chr m:val="∑"/>
                              <m:limLoc m:val="subSup"/>
                              <m:supHide m:val="1"/>
                              <m:ctrlPr>
                                <w:rPr>
                                  <w:rFonts w:ascii="Cambria Math" w:hAnsi="Cambria Math"/>
                                </w:rPr>
                              </m:ctrlPr>
                            </m:naryPr>
                            <m:sub>
                              <m:r>
                                <w:rPr>
                                  <w:rFonts w:ascii="Cambria Math" w:hAnsi="Cambria Math"/>
                                </w:rPr>
                                <m:t>t</m:t>
                              </m:r>
                            </m:sub>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k</m:t>
                                          </m:r>
                                        </m:sub>
                                      </m:sSub>
                                      <m:r>
                                        <m:rPr>
                                          <m:sty m:val="p"/>
                                        </m:rPr>
                                        <w:rPr>
                                          <w:rFonts w:ascii="Cambria Math" w:hAnsi="Cambria Math"/>
                                        </w:rPr>
                                        <m:t>-</m:t>
                                      </m:r>
                                      <m:acc>
                                        <m:accPr>
                                          <m:chr m:val="̅"/>
                                          <m:ctrlPr>
                                            <w:rPr>
                                              <w:rFonts w:ascii="Cambria Math" w:hAnsi="Cambria Math"/>
                                            </w:rPr>
                                          </m:ctrlPr>
                                        </m:accPr>
                                        <m:e>
                                          <m:r>
                                            <w:rPr>
                                              <w:rFonts w:ascii="Cambria Math" w:hAnsi="Cambria Math"/>
                                            </w:rPr>
                                            <m:t>y</m:t>
                                          </m:r>
                                        </m:e>
                                      </m:acc>
                                    </m:e>
                                  </m:d>
                                </m:e>
                                <m:sup>
                                  <m:r>
                                    <m:rPr>
                                      <m:sty m:val="p"/>
                                    </m:rPr>
                                    <w:rPr>
                                      <w:rFonts w:ascii="Cambria Math" w:hAnsi="Cambria Math"/>
                                    </w:rPr>
                                    <m:t>2</m:t>
                                  </m:r>
                                </m:sup>
                              </m:sSup>
                            </m:e>
                          </m:nary>
                        </m:e>
                      </m:nary>
                    </m:e>
                  </m:rad>
                </m:den>
              </m:f>
              <m:r>
                <w:rPr>
                  <w:rFonts w:ascii="Cambria Math" w:hAnsi="Cambria Math"/>
                </w:rPr>
                <m:t>#</m:t>
              </m:r>
              <m:d>
                <m:dPr>
                  <m:ctrlPr>
                    <w:rPr>
                      <w:rFonts w:ascii="Cambria Math" w:hAnsi="Cambria Math"/>
                      <w:i/>
                    </w:rPr>
                  </m:ctrlPr>
                </m:dPr>
                <m:e>
                  <m:r>
                    <w:rPr>
                      <w:rFonts w:ascii="Cambria Math" w:hAnsi="Cambria Math"/>
                    </w:rPr>
                    <m:t>15</m:t>
                  </m:r>
                </m:e>
              </m:d>
            </m:e>
          </m:eqArr>
        </m:oMath>
      </m:oMathPara>
    </w:p>
    <w:p w14:paraId="350CE8D7" w14:textId="77777777" w:rsidR="00A80AC4" w:rsidRPr="00A80AC4" w:rsidRDefault="00A80AC4" w:rsidP="00A80AC4">
      <w:pPr>
        <w:pStyle w:val="Text"/>
        <w:rPr>
          <w:rFonts w:ascii="Calibri" w:hAnsi="Calibri"/>
        </w:rPr>
      </w:pPr>
      <w:r w:rsidRPr="00A80AC4">
        <w:rPr>
          <w:rFonts w:ascii="Calibri" w:hAnsi="Calibri"/>
        </w:rPr>
        <w:t>A positive correlation with a lag k &gt; 0 indicates that sector x leads sector y by k periods.</w:t>
      </w:r>
    </w:p>
    <w:p w14:paraId="65A426D1" w14:textId="0B4E3149" w:rsidR="00C9667F" w:rsidRDefault="00A80AC4" w:rsidP="00284ACB">
      <w:pPr>
        <w:pStyle w:val="Text"/>
        <w:rPr>
          <w:rFonts w:ascii="Calibri" w:hAnsi="Calibri"/>
        </w:rPr>
      </w:pPr>
      <w:r w:rsidRPr="00A80AC4">
        <w:rPr>
          <w:rFonts w:ascii="Calibri" w:hAnsi="Calibri"/>
        </w:rPr>
        <w:t>Empirical analysis showed that the banking and securities sectors often lead market cycles, while real estate and retail tend to lag</w:t>
      </w:r>
      <w:r>
        <w:rPr>
          <w:rFonts w:ascii="Calibri" w:hAnsi="Calibri"/>
        </w:rPr>
        <w:t>.</w:t>
      </w:r>
    </w:p>
    <w:p w14:paraId="37C1B957" w14:textId="41EA8412" w:rsidR="00284ACB" w:rsidRDefault="00284ACB" w:rsidP="00A80AC4">
      <w:pPr>
        <w:pStyle w:val="Text"/>
        <w:rPr>
          <w:rFonts w:ascii="Calibri" w:hAnsi="Calibri"/>
        </w:rPr>
        <w:sectPr w:rsidR="00284ACB" w:rsidSect="00C9667F">
          <w:type w:val="continuous"/>
          <w:pgSz w:w="11907" w:h="16839" w:code="9"/>
          <w:pgMar w:top="1008" w:right="936" w:bottom="1008" w:left="936" w:header="187" w:footer="216" w:gutter="0"/>
          <w:cols w:num="2" w:space="288"/>
        </w:sectPr>
      </w:pPr>
      <w:r>
        <w:rPr>
          <w:rFonts w:ascii="Calibri" w:hAnsi="Calibri"/>
        </w:rPr>
        <w:t>I</w:t>
      </w:r>
      <w:r w:rsidRPr="00C9667F">
        <w:rPr>
          <w:rFonts w:ascii="Calibri" w:hAnsi="Calibri"/>
        </w:rPr>
        <w:t>llustrates the heatmap of correlation coefficients among five main sectors, revealing that the banking index has the strongest leading signal (ρ=0.78) with the VN-Index</w:t>
      </w:r>
      <w:r>
        <w:rPr>
          <w:rFonts w:ascii="Calibri" w:hAnsi="Calibri"/>
        </w:rPr>
        <w:t>.</w:t>
      </w:r>
    </w:p>
    <w:p w14:paraId="03056C9A" w14:textId="7E00E1E9" w:rsidR="00A80AC4" w:rsidRDefault="00A80AC4" w:rsidP="00C9667F">
      <w:pPr>
        <w:pStyle w:val="Text"/>
        <w:jc w:val="center"/>
        <w:rPr>
          <w:rFonts w:ascii="Calibri" w:hAnsi="Calibri"/>
        </w:rPr>
      </w:pPr>
      <w:r w:rsidRPr="00A6338D">
        <w:rPr>
          <w:noProof/>
        </w:rPr>
        <w:lastRenderedPageBreak/>
        <w:drawing>
          <wp:inline distT="0" distB="0" distL="0" distR="0" wp14:anchorId="02E796C4" wp14:editId="5255FC1E">
            <wp:extent cx="4264372" cy="2352675"/>
            <wp:effectExtent l="0" t="0" r="3175" b="0"/>
            <wp:docPr id="1826705222" name="Picture 1"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705222" name="Picture 1" descr="A diagram of a group&#10;&#10;AI-generated content may be incorrect."/>
                    <pic:cNvPicPr/>
                  </pic:nvPicPr>
                  <pic:blipFill rotWithShape="1">
                    <a:blip r:embed="rId16"/>
                    <a:srcRect b="3789"/>
                    <a:stretch>
                      <a:fillRect/>
                    </a:stretch>
                  </pic:blipFill>
                  <pic:spPr bwMode="auto">
                    <a:xfrm>
                      <a:off x="0" y="0"/>
                      <a:ext cx="4278542" cy="2360493"/>
                    </a:xfrm>
                    <a:prstGeom prst="rect">
                      <a:avLst/>
                    </a:prstGeom>
                    <a:ln>
                      <a:noFill/>
                    </a:ln>
                    <a:extLst>
                      <a:ext uri="{53640926-AAD7-44D8-BBD7-CCE9431645EC}">
                        <a14:shadowObscured xmlns:a14="http://schemas.microsoft.com/office/drawing/2010/main"/>
                      </a:ext>
                    </a:extLst>
                  </pic:spPr>
                </pic:pic>
              </a:graphicData>
            </a:graphic>
          </wp:inline>
        </w:drawing>
      </w:r>
    </w:p>
    <w:p w14:paraId="4BA33447" w14:textId="35A670EA" w:rsidR="00C9667F" w:rsidRDefault="00C9667F" w:rsidP="00A23694">
      <w:pPr>
        <w:pStyle w:val="Text"/>
        <w:spacing w:after="120"/>
        <w:ind w:firstLine="204"/>
        <w:jc w:val="center"/>
        <w:rPr>
          <w:rFonts w:ascii="Calibri" w:hAnsi="Calibri"/>
        </w:rPr>
      </w:pPr>
      <w:r w:rsidRPr="00F03142">
        <w:rPr>
          <w:rFonts w:ascii="Calibri" w:hAnsi="Calibri"/>
        </w:rPr>
        <w:t>Fig.</w:t>
      </w:r>
      <w:r w:rsidR="003E4C65">
        <w:rPr>
          <w:rFonts w:ascii="Calibri" w:hAnsi="Calibri"/>
        </w:rPr>
        <w:t>3</w:t>
      </w:r>
      <w:r>
        <w:rPr>
          <w:rFonts w:ascii="Calibri" w:hAnsi="Calibri"/>
        </w:rPr>
        <w:t xml:space="preserve"> </w:t>
      </w:r>
      <w:r w:rsidRPr="00C9667F">
        <w:rPr>
          <w:rFonts w:ascii="Calibri" w:hAnsi="Calibri"/>
        </w:rPr>
        <w:t>Inter-Industry Cluster Analysis</w:t>
      </w:r>
    </w:p>
    <w:p w14:paraId="1DF01526" w14:textId="77777777" w:rsidR="00C9667F" w:rsidRDefault="00C9667F" w:rsidP="00A80AC4">
      <w:pPr>
        <w:pStyle w:val="Text"/>
        <w:rPr>
          <w:rFonts w:ascii="Calibri" w:hAnsi="Calibri"/>
        </w:rPr>
        <w:sectPr w:rsidR="00C9667F" w:rsidSect="00C9667F">
          <w:type w:val="continuous"/>
          <w:pgSz w:w="11907" w:h="16839" w:code="9"/>
          <w:pgMar w:top="1008" w:right="936" w:bottom="1008" w:left="936" w:header="187" w:footer="216" w:gutter="0"/>
          <w:cols w:space="288"/>
        </w:sectPr>
      </w:pPr>
    </w:p>
    <w:p w14:paraId="79550969" w14:textId="7FF7B2A2" w:rsidR="00943649" w:rsidRPr="00D17167" w:rsidRDefault="00943649" w:rsidP="00D17167">
      <w:pPr>
        <w:pStyle w:val="Text"/>
        <w:spacing w:before="120" w:after="60"/>
        <w:ind w:firstLine="204"/>
        <w:rPr>
          <w:rFonts w:ascii="Calibri" w:hAnsi="Calibri"/>
          <w:i/>
          <w:iCs/>
        </w:rPr>
      </w:pPr>
      <w:r w:rsidRPr="00D17167">
        <w:rPr>
          <w:rFonts w:ascii="Calibri" w:hAnsi="Calibri"/>
          <w:i/>
          <w:iCs/>
        </w:rPr>
        <w:t>B.   Modeling Foreign Capital Impact using VAR</w:t>
      </w:r>
    </w:p>
    <w:p w14:paraId="79CE21AD" w14:textId="77777777" w:rsidR="00943649" w:rsidRPr="00943649" w:rsidRDefault="00943649" w:rsidP="00943649">
      <w:pPr>
        <w:pStyle w:val="Text"/>
        <w:rPr>
          <w:rFonts w:ascii="Calibri" w:hAnsi="Calibri"/>
        </w:rPr>
      </w:pPr>
      <w:r w:rsidRPr="00943649">
        <w:rPr>
          <w:rFonts w:ascii="Calibri" w:hAnsi="Calibri"/>
        </w:rPr>
        <w:t>Variance decomposition shows foreign inflows explain approximately 22% of return variation in the medium term.</w:t>
      </w:r>
    </w:p>
    <w:p w14:paraId="02B1119A" w14:textId="73EEE613" w:rsidR="00943649" w:rsidRDefault="00943649" w:rsidP="00943649">
      <w:pPr>
        <w:pStyle w:val="Text"/>
        <w:rPr>
          <w:rFonts w:ascii="Calibri" w:hAnsi="Calibri"/>
        </w:rPr>
      </w:pPr>
      <w:r w:rsidRPr="00943649">
        <w:rPr>
          <w:rFonts w:ascii="Calibri" w:hAnsi="Calibri"/>
        </w:rPr>
        <w:t>These findings empirically verify the Granger causality relationship between foreign capital and domestic market performance</w:t>
      </w:r>
    </w:p>
    <w:p w14:paraId="4B5ABDB1" w14:textId="1271DB00" w:rsidR="00943649" w:rsidRDefault="00943649" w:rsidP="00784EBC">
      <w:pPr>
        <w:pStyle w:val="Text"/>
        <w:spacing w:before="240" w:after="120"/>
        <w:ind w:firstLine="204"/>
        <w:jc w:val="center"/>
        <w:rPr>
          <w:rFonts w:ascii="Calibri" w:hAnsi="Calibri"/>
        </w:rPr>
      </w:pPr>
      <w:r w:rsidRPr="00943649">
        <w:rPr>
          <w:rFonts w:ascii="Calibri" w:hAnsi="Calibri"/>
          <w:b/>
          <w:bCs/>
        </w:rPr>
        <w:t>Table II.</w:t>
      </w:r>
      <w:r>
        <w:rPr>
          <w:rFonts w:ascii="Calibri" w:hAnsi="Calibri"/>
        </w:rPr>
        <w:t xml:space="preserve"> </w:t>
      </w:r>
      <w:r w:rsidRPr="00943649">
        <w:rPr>
          <w:rFonts w:ascii="Calibri" w:hAnsi="Calibri"/>
        </w:rPr>
        <w:t>Average returns associated with net buying and net selling actions across different investment horizons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766"/>
        <w:gridCol w:w="852"/>
        <w:gridCol w:w="719"/>
        <w:gridCol w:w="1071"/>
        <w:gridCol w:w="1465"/>
      </w:tblGrid>
      <w:tr w:rsidR="00E855D5" w14:paraId="557DD966" w14:textId="77777777" w:rsidTr="00383604">
        <w:tc>
          <w:tcPr>
            <w:tcW w:w="766" w:type="dxa"/>
            <w:vAlign w:val="center"/>
          </w:tcPr>
          <w:p w14:paraId="0E139A73" w14:textId="6E7406DE" w:rsidR="00943649" w:rsidRDefault="00943649" w:rsidP="00943649">
            <w:pPr>
              <w:pStyle w:val="Text"/>
              <w:ind w:firstLine="0"/>
              <w:jc w:val="left"/>
              <w:rPr>
                <w:rFonts w:ascii="Calibri" w:hAnsi="Calibri"/>
              </w:rPr>
            </w:pPr>
            <w:r w:rsidRPr="00943649">
              <w:rPr>
                <w:rFonts w:ascii="Calibri" w:hAnsi="Calibri"/>
              </w:rPr>
              <w:t>Action</w:t>
            </w:r>
          </w:p>
        </w:tc>
        <w:tc>
          <w:tcPr>
            <w:tcW w:w="852" w:type="dxa"/>
            <w:vAlign w:val="center"/>
          </w:tcPr>
          <w:p w14:paraId="2118DAE3" w14:textId="18991ADA" w:rsidR="00943649" w:rsidRDefault="00943649" w:rsidP="00943649">
            <w:pPr>
              <w:pStyle w:val="Text"/>
              <w:ind w:firstLine="0"/>
              <w:jc w:val="left"/>
              <w:rPr>
                <w:rFonts w:ascii="Calibri" w:hAnsi="Calibri"/>
              </w:rPr>
            </w:pPr>
            <w:r w:rsidRPr="00943649">
              <w:rPr>
                <w:rFonts w:ascii="Calibri" w:hAnsi="Calibri"/>
              </w:rPr>
              <w:t>Horizon (days)</w:t>
            </w:r>
            <w:r w:rsidRPr="00943649">
              <w:rPr>
                <w:rFonts w:ascii="Calibri" w:hAnsi="Calibri"/>
              </w:rPr>
              <w:tab/>
            </w:r>
          </w:p>
        </w:tc>
        <w:tc>
          <w:tcPr>
            <w:tcW w:w="727" w:type="dxa"/>
            <w:vAlign w:val="center"/>
          </w:tcPr>
          <w:p w14:paraId="5191F747" w14:textId="5FBCF0F0" w:rsidR="00943649" w:rsidRDefault="00943649" w:rsidP="00943649">
            <w:pPr>
              <w:pStyle w:val="Text"/>
              <w:ind w:firstLine="0"/>
              <w:jc w:val="left"/>
              <w:rPr>
                <w:rFonts w:ascii="Calibri" w:hAnsi="Calibri"/>
              </w:rPr>
            </w:pPr>
            <w:r w:rsidRPr="00943649">
              <w:rPr>
                <w:rFonts w:ascii="Calibri" w:hAnsi="Calibri"/>
              </w:rPr>
              <w:t>Term</w:t>
            </w:r>
          </w:p>
        </w:tc>
        <w:tc>
          <w:tcPr>
            <w:tcW w:w="774" w:type="dxa"/>
            <w:vAlign w:val="center"/>
          </w:tcPr>
          <w:p w14:paraId="67C83D33" w14:textId="5A0736F4" w:rsidR="00943649" w:rsidRDefault="00943649" w:rsidP="00943649">
            <w:pPr>
              <w:pStyle w:val="Text"/>
              <w:ind w:firstLine="0"/>
              <w:jc w:val="left"/>
              <w:rPr>
                <w:rFonts w:ascii="Calibri" w:hAnsi="Calibri"/>
              </w:rPr>
            </w:pPr>
            <w:r w:rsidRPr="00943649">
              <w:rPr>
                <w:rFonts w:ascii="Calibri" w:hAnsi="Calibri"/>
              </w:rPr>
              <w:t>Mean</w:t>
            </w:r>
            <w:r w:rsidRPr="00943649">
              <w:rPr>
                <w:rFonts w:ascii="Calibri" w:hAnsi="Calibri"/>
              </w:rPr>
              <w:tab/>
            </w:r>
          </w:p>
        </w:tc>
        <w:tc>
          <w:tcPr>
            <w:tcW w:w="1754" w:type="dxa"/>
            <w:vAlign w:val="center"/>
          </w:tcPr>
          <w:p w14:paraId="07E0C8A3" w14:textId="61D42088" w:rsidR="00943649" w:rsidRDefault="00943649" w:rsidP="00E855D5">
            <w:pPr>
              <w:pStyle w:val="Text"/>
              <w:spacing w:before="60" w:after="60"/>
              <w:ind w:firstLine="0"/>
              <w:jc w:val="left"/>
              <w:rPr>
                <w:rFonts w:ascii="Calibri" w:hAnsi="Calibri"/>
              </w:rPr>
            </w:pPr>
            <w:r w:rsidRPr="00943649">
              <w:rPr>
                <w:rFonts w:ascii="Calibri" w:hAnsi="Calibri"/>
              </w:rPr>
              <w:t>Interpretation</w:t>
            </w:r>
          </w:p>
        </w:tc>
      </w:tr>
      <w:tr w:rsidR="00E855D5" w14:paraId="3F33D3FA" w14:textId="77777777" w:rsidTr="00383604">
        <w:tc>
          <w:tcPr>
            <w:tcW w:w="766" w:type="dxa"/>
            <w:vAlign w:val="center"/>
          </w:tcPr>
          <w:p w14:paraId="580A0322" w14:textId="1BCA4D51" w:rsidR="00943649" w:rsidRDefault="00943649" w:rsidP="00943649">
            <w:pPr>
              <w:pStyle w:val="Text"/>
              <w:ind w:firstLine="0"/>
              <w:jc w:val="left"/>
              <w:rPr>
                <w:rFonts w:ascii="Calibri" w:hAnsi="Calibri"/>
              </w:rPr>
            </w:pPr>
            <w:r w:rsidRPr="00943649">
              <w:rPr>
                <w:rFonts w:ascii="Calibri" w:hAnsi="Calibri"/>
              </w:rPr>
              <w:t>Net Buying</w:t>
            </w:r>
          </w:p>
        </w:tc>
        <w:tc>
          <w:tcPr>
            <w:tcW w:w="852" w:type="dxa"/>
            <w:vAlign w:val="center"/>
          </w:tcPr>
          <w:p w14:paraId="13270A78" w14:textId="3B04CE54" w:rsidR="00943649" w:rsidRDefault="00943649" w:rsidP="00943649">
            <w:pPr>
              <w:pStyle w:val="Text"/>
              <w:ind w:firstLine="0"/>
              <w:jc w:val="left"/>
              <w:rPr>
                <w:rFonts w:ascii="Calibri" w:hAnsi="Calibri"/>
              </w:rPr>
            </w:pPr>
            <w:r>
              <w:rPr>
                <w:rFonts w:ascii="Calibri" w:hAnsi="Calibri"/>
              </w:rPr>
              <w:t xml:space="preserve">From </w:t>
            </w:r>
            <w:r w:rsidRPr="00943649">
              <w:rPr>
                <w:rFonts w:ascii="Calibri" w:hAnsi="Calibri"/>
              </w:rPr>
              <w:t>1</w:t>
            </w:r>
            <w:r>
              <w:rPr>
                <w:rFonts w:ascii="Calibri" w:hAnsi="Calibri"/>
              </w:rPr>
              <w:t xml:space="preserve"> to </w:t>
            </w:r>
            <w:r w:rsidRPr="00943649">
              <w:rPr>
                <w:rFonts w:ascii="Calibri" w:hAnsi="Calibri"/>
              </w:rPr>
              <w:t>7</w:t>
            </w:r>
          </w:p>
        </w:tc>
        <w:tc>
          <w:tcPr>
            <w:tcW w:w="727" w:type="dxa"/>
            <w:vAlign w:val="center"/>
          </w:tcPr>
          <w:p w14:paraId="5BC94C46" w14:textId="426C454E" w:rsidR="00943649" w:rsidRDefault="00943649" w:rsidP="00943649">
            <w:pPr>
              <w:pStyle w:val="Text"/>
              <w:ind w:firstLine="0"/>
              <w:jc w:val="left"/>
              <w:rPr>
                <w:rFonts w:ascii="Calibri" w:hAnsi="Calibri"/>
              </w:rPr>
            </w:pPr>
            <w:r w:rsidRPr="00943649">
              <w:rPr>
                <w:rFonts w:ascii="Calibri" w:hAnsi="Calibri"/>
              </w:rPr>
              <w:t>Short-term</w:t>
            </w:r>
            <w:r w:rsidRPr="00943649">
              <w:rPr>
                <w:rFonts w:ascii="Calibri" w:hAnsi="Calibri"/>
              </w:rPr>
              <w:tab/>
            </w:r>
          </w:p>
        </w:tc>
        <w:tc>
          <w:tcPr>
            <w:tcW w:w="774" w:type="dxa"/>
            <w:vAlign w:val="center"/>
          </w:tcPr>
          <w:p w14:paraId="547FF97D" w14:textId="1BA3607A" w:rsidR="00943649" w:rsidRDefault="00943649" w:rsidP="00943649">
            <w:pPr>
              <w:pStyle w:val="Text"/>
              <w:ind w:firstLine="0"/>
              <w:jc w:val="left"/>
              <w:rPr>
                <w:rFonts w:ascii="Calibri" w:hAnsi="Calibri"/>
              </w:rPr>
            </w:pPr>
            <w:r w:rsidRPr="00943649">
              <w:rPr>
                <w:rFonts w:ascii="Calibri" w:hAnsi="Calibri"/>
              </w:rPr>
              <w:t>0.5–1%</w:t>
            </w:r>
          </w:p>
        </w:tc>
        <w:tc>
          <w:tcPr>
            <w:tcW w:w="1754" w:type="dxa"/>
            <w:vAlign w:val="center"/>
          </w:tcPr>
          <w:p w14:paraId="4C930501" w14:textId="080B69DB" w:rsidR="00943649" w:rsidRDefault="00943649" w:rsidP="00E855D5">
            <w:pPr>
              <w:pStyle w:val="Text"/>
              <w:spacing w:before="60" w:after="60"/>
              <w:ind w:firstLine="0"/>
              <w:jc w:val="left"/>
              <w:rPr>
                <w:rFonts w:ascii="Calibri" w:hAnsi="Calibri"/>
              </w:rPr>
            </w:pPr>
            <w:r w:rsidRPr="00943649">
              <w:rPr>
                <w:rFonts w:ascii="Calibri" w:hAnsi="Calibri"/>
              </w:rPr>
              <w:t>Positive returns observed</w:t>
            </w:r>
          </w:p>
        </w:tc>
      </w:tr>
      <w:tr w:rsidR="00E855D5" w14:paraId="5BE07C0A" w14:textId="77777777" w:rsidTr="00383604">
        <w:tc>
          <w:tcPr>
            <w:tcW w:w="766" w:type="dxa"/>
            <w:vAlign w:val="center"/>
          </w:tcPr>
          <w:p w14:paraId="4257E4C7" w14:textId="10C2C9F4" w:rsidR="00943649" w:rsidRDefault="00943649" w:rsidP="00943649">
            <w:pPr>
              <w:pStyle w:val="Text"/>
              <w:ind w:firstLine="0"/>
              <w:jc w:val="left"/>
              <w:rPr>
                <w:rFonts w:ascii="Calibri" w:hAnsi="Calibri"/>
              </w:rPr>
            </w:pPr>
            <w:r w:rsidRPr="00943649">
              <w:rPr>
                <w:rFonts w:ascii="Calibri" w:hAnsi="Calibri"/>
              </w:rPr>
              <w:t>Net Buying</w:t>
            </w:r>
          </w:p>
        </w:tc>
        <w:tc>
          <w:tcPr>
            <w:tcW w:w="852" w:type="dxa"/>
            <w:vAlign w:val="center"/>
          </w:tcPr>
          <w:p w14:paraId="40F080A8" w14:textId="1140A1D4" w:rsidR="00943649" w:rsidRDefault="00943649" w:rsidP="00943649">
            <w:pPr>
              <w:pStyle w:val="Text"/>
              <w:ind w:firstLine="0"/>
              <w:jc w:val="left"/>
              <w:rPr>
                <w:rFonts w:ascii="Calibri" w:hAnsi="Calibri"/>
              </w:rPr>
            </w:pPr>
            <w:r>
              <w:rPr>
                <w:rFonts w:ascii="Calibri" w:hAnsi="Calibri"/>
              </w:rPr>
              <w:t xml:space="preserve">From </w:t>
            </w:r>
            <w:r w:rsidRPr="00943649">
              <w:rPr>
                <w:rFonts w:ascii="Calibri" w:hAnsi="Calibri"/>
              </w:rPr>
              <w:t>20</w:t>
            </w:r>
            <w:r>
              <w:rPr>
                <w:rFonts w:ascii="Calibri" w:hAnsi="Calibri"/>
              </w:rPr>
              <w:t xml:space="preserve"> to </w:t>
            </w:r>
            <w:r w:rsidRPr="00943649">
              <w:rPr>
                <w:rFonts w:ascii="Calibri" w:hAnsi="Calibri"/>
              </w:rPr>
              <w:t>120</w:t>
            </w:r>
          </w:p>
        </w:tc>
        <w:tc>
          <w:tcPr>
            <w:tcW w:w="727" w:type="dxa"/>
            <w:vAlign w:val="center"/>
          </w:tcPr>
          <w:p w14:paraId="6584891E" w14:textId="690F1336" w:rsidR="00943649" w:rsidRDefault="00943649" w:rsidP="00943649">
            <w:pPr>
              <w:pStyle w:val="Text"/>
              <w:ind w:firstLine="0"/>
              <w:jc w:val="left"/>
              <w:rPr>
                <w:rFonts w:ascii="Calibri" w:hAnsi="Calibri"/>
              </w:rPr>
            </w:pPr>
            <w:r w:rsidRPr="00943649">
              <w:rPr>
                <w:rFonts w:ascii="Calibri" w:hAnsi="Calibri"/>
              </w:rPr>
              <w:t>Long-term</w:t>
            </w:r>
          </w:p>
        </w:tc>
        <w:tc>
          <w:tcPr>
            <w:tcW w:w="774" w:type="dxa"/>
            <w:vAlign w:val="center"/>
          </w:tcPr>
          <w:p w14:paraId="288D26CE" w14:textId="3D7878EB" w:rsidR="00943649" w:rsidRDefault="00943649" w:rsidP="00943649">
            <w:pPr>
              <w:pStyle w:val="Text"/>
              <w:ind w:firstLine="0"/>
              <w:jc w:val="left"/>
              <w:rPr>
                <w:rFonts w:ascii="Calibri" w:hAnsi="Calibri"/>
              </w:rPr>
            </w:pPr>
            <w:r w:rsidRPr="00943649">
              <w:rPr>
                <w:rFonts w:ascii="Calibri" w:hAnsi="Calibri"/>
              </w:rPr>
              <w:t>1–10%</w:t>
            </w:r>
          </w:p>
        </w:tc>
        <w:tc>
          <w:tcPr>
            <w:tcW w:w="1754" w:type="dxa"/>
            <w:vAlign w:val="center"/>
          </w:tcPr>
          <w:p w14:paraId="4A167DAF" w14:textId="2925E2F9" w:rsidR="00943649" w:rsidRDefault="00943649" w:rsidP="00E855D5">
            <w:pPr>
              <w:pStyle w:val="Text"/>
              <w:spacing w:before="60" w:after="60"/>
              <w:ind w:firstLine="0"/>
              <w:jc w:val="left"/>
              <w:rPr>
                <w:rFonts w:ascii="Calibri" w:hAnsi="Calibri"/>
              </w:rPr>
            </w:pPr>
            <w:r w:rsidRPr="00943649">
              <w:rPr>
                <w:rFonts w:ascii="Calibri" w:hAnsi="Calibri"/>
              </w:rPr>
              <w:t>Strongly increasing returns with high statistical significance</w:t>
            </w:r>
          </w:p>
        </w:tc>
      </w:tr>
      <w:tr w:rsidR="00E855D5" w14:paraId="2BC8D796" w14:textId="77777777" w:rsidTr="00383604">
        <w:tc>
          <w:tcPr>
            <w:tcW w:w="766" w:type="dxa"/>
            <w:vAlign w:val="center"/>
          </w:tcPr>
          <w:p w14:paraId="4E0360D3" w14:textId="05CE2551" w:rsidR="00943649" w:rsidRDefault="00943649" w:rsidP="00943649">
            <w:pPr>
              <w:pStyle w:val="Text"/>
              <w:ind w:firstLine="0"/>
              <w:jc w:val="left"/>
              <w:rPr>
                <w:rFonts w:ascii="Calibri" w:hAnsi="Calibri"/>
              </w:rPr>
            </w:pPr>
            <w:r w:rsidRPr="00943649">
              <w:rPr>
                <w:rFonts w:ascii="Calibri" w:hAnsi="Calibri"/>
              </w:rPr>
              <w:t>Net Selling</w:t>
            </w:r>
          </w:p>
        </w:tc>
        <w:tc>
          <w:tcPr>
            <w:tcW w:w="852" w:type="dxa"/>
            <w:vAlign w:val="center"/>
          </w:tcPr>
          <w:p w14:paraId="72A66CA5" w14:textId="44A29EB3" w:rsidR="00943649" w:rsidRDefault="00943649" w:rsidP="00943649">
            <w:pPr>
              <w:pStyle w:val="Text"/>
              <w:ind w:firstLine="0"/>
              <w:jc w:val="left"/>
              <w:rPr>
                <w:rFonts w:ascii="Calibri" w:hAnsi="Calibri"/>
              </w:rPr>
            </w:pPr>
            <w:r>
              <w:rPr>
                <w:rFonts w:ascii="Calibri" w:hAnsi="Calibri"/>
              </w:rPr>
              <w:t xml:space="preserve">From </w:t>
            </w:r>
            <w:r w:rsidRPr="00943649">
              <w:rPr>
                <w:rFonts w:ascii="Calibri" w:hAnsi="Calibri"/>
              </w:rPr>
              <w:t>1</w:t>
            </w:r>
            <w:r>
              <w:rPr>
                <w:rFonts w:ascii="Calibri" w:hAnsi="Calibri"/>
              </w:rPr>
              <w:t xml:space="preserve"> to </w:t>
            </w:r>
            <w:r w:rsidRPr="00943649">
              <w:rPr>
                <w:rFonts w:ascii="Calibri" w:hAnsi="Calibri"/>
              </w:rPr>
              <w:t>7</w:t>
            </w:r>
          </w:p>
        </w:tc>
        <w:tc>
          <w:tcPr>
            <w:tcW w:w="727" w:type="dxa"/>
            <w:vAlign w:val="center"/>
          </w:tcPr>
          <w:p w14:paraId="75A2E8A7" w14:textId="6F67F156" w:rsidR="00943649" w:rsidRDefault="00943649" w:rsidP="00943649">
            <w:pPr>
              <w:pStyle w:val="Text"/>
              <w:ind w:firstLine="0"/>
              <w:jc w:val="left"/>
              <w:rPr>
                <w:rFonts w:ascii="Calibri" w:hAnsi="Calibri"/>
              </w:rPr>
            </w:pPr>
            <w:r w:rsidRPr="00943649">
              <w:rPr>
                <w:rFonts w:ascii="Calibri" w:hAnsi="Calibri"/>
              </w:rPr>
              <w:t>Short-term</w:t>
            </w:r>
          </w:p>
        </w:tc>
        <w:tc>
          <w:tcPr>
            <w:tcW w:w="774" w:type="dxa"/>
            <w:vAlign w:val="center"/>
          </w:tcPr>
          <w:p w14:paraId="05C45279" w14:textId="4E883735" w:rsidR="00943649" w:rsidRDefault="00943649" w:rsidP="00943649">
            <w:pPr>
              <w:pStyle w:val="Text"/>
              <w:ind w:firstLine="0"/>
              <w:jc w:val="left"/>
              <w:rPr>
                <w:rFonts w:ascii="Calibri" w:hAnsi="Calibri"/>
              </w:rPr>
            </w:pPr>
            <w:r w:rsidRPr="00943649">
              <w:rPr>
                <w:rFonts w:ascii="Calibri" w:hAnsi="Calibri"/>
              </w:rPr>
              <w:t>~–0.18%</w:t>
            </w:r>
            <w:r w:rsidRPr="00943649">
              <w:rPr>
                <w:rFonts w:ascii="Calibri" w:hAnsi="Calibri"/>
              </w:rPr>
              <w:tab/>
            </w:r>
          </w:p>
        </w:tc>
        <w:tc>
          <w:tcPr>
            <w:tcW w:w="1754" w:type="dxa"/>
            <w:vAlign w:val="center"/>
          </w:tcPr>
          <w:p w14:paraId="579C8C8D" w14:textId="5ABAC9D7" w:rsidR="00943649" w:rsidRDefault="00943649" w:rsidP="00E855D5">
            <w:pPr>
              <w:pStyle w:val="Text"/>
              <w:spacing w:before="60" w:after="60"/>
              <w:ind w:firstLine="0"/>
              <w:jc w:val="left"/>
              <w:rPr>
                <w:rFonts w:ascii="Calibri" w:hAnsi="Calibri"/>
              </w:rPr>
            </w:pPr>
            <w:r w:rsidRPr="00943649">
              <w:rPr>
                <w:rFonts w:ascii="Calibri" w:hAnsi="Calibri"/>
              </w:rPr>
              <w:t>Unstable performance; slightly negative trading effect</w:t>
            </w:r>
          </w:p>
        </w:tc>
      </w:tr>
      <w:tr w:rsidR="00E855D5" w14:paraId="7A0E49E3" w14:textId="77777777" w:rsidTr="00383604">
        <w:tc>
          <w:tcPr>
            <w:tcW w:w="766" w:type="dxa"/>
            <w:vAlign w:val="center"/>
          </w:tcPr>
          <w:p w14:paraId="53037194" w14:textId="41FB1A8D" w:rsidR="00943649" w:rsidRDefault="00943649" w:rsidP="00943649">
            <w:pPr>
              <w:pStyle w:val="Text"/>
              <w:ind w:firstLine="0"/>
              <w:jc w:val="left"/>
              <w:rPr>
                <w:rFonts w:ascii="Calibri" w:hAnsi="Calibri"/>
              </w:rPr>
            </w:pPr>
            <w:r w:rsidRPr="00943649">
              <w:rPr>
                <w:rFonts w:ascii="Calibri" w:hAnsi="Calibri"/>
              </w:rPr>
              <w:t>Net Selling</w:t>
            </w:r>
          </w:p>
        </w:tc>
        <w:tc>
          <w:tcPr>
            <w:tcW w:w="852" w:type="dxa"/>
            <w:vAlign w:val="center"/>
          </w:tcPr>
          <w:p w14:paraId="46291DAC" w14:textId="12FA0A57" w:rsidR="00943649" w:rsidRDefault="00943649" w:rsidP="00943649">
            <w:pPr>
              <w:pStyle w:val="Text"/>
              <w:ind w:firstLine="0"/>
              <w:jc w:val="left"/>
              <w:rPr>
                <w:rFonts w:ascii="Calibri" w:hAnsi="Calibri"/>
              </w:rPr>
            </w:pPr>
            <w:r>
              <w:rPr>
                <w:rFonts w:ascii="Calibri" w:hAnsi="Calibri"/>
              </w:rPr>
              <w:t xml:space="preserve">From </w:t>
            </w:r>
            <w:r w:rsidRPr="00943649">
              <w:rPr>
                <w:rFonts w:ascii="Calibri" w:hAnsi="Calibri"/>
              </w:rPr>
              <w:t>20</w:t>
            </w:r>
            <w:r>
              <w:rPr>
                <w:rFonts w:ascii="Calibri" w:hAnsi="Calibri"/>
              </w:rPr>
              <w:t xml:space="preserve"> to </w:t>
            </w:r>
            <w:r w:rsidRPr="00943649">
              <w:rPr>
                <w:rFonts w:ascii="Calibri" w:hAnsi="Calibri"/>
              </w:rPr>
              <w:t>120</w:t>
            </w:r>
          </w:p>
        </w:tc>
        <w:tc>
          <w:tcPr>
            <w:tcW w:w="727" w:type="dxa"/>
            <w:vAlign w:val="center"/>
          </w:tcPr>
          <w:p w14:paraId="32642055" w14:textId="79D6CE9F" w:rsidR="00943649" w:rsidRDefault="00943649" w:rsidP="00943649">
            <w:pPr>
              <w:pStyle w:val="Text"/>
              <w:ind w:firstLine="0"/>
              <w:jc w:val="left"/>
              <w:rPr>
                <w:rFonts w:ascii="Calibri" w:hAnsi="Calibri"/>
              </w:rPr>
            </w:pPr>
            <w:r w:rsidRPr="00943649">
              <w:rPr>
                <w:rFonts w:ascii="Calibri" w:hAnsi="Calibri"/>
              </w:rPr>
              <w:t>Long-term</w:t>
            </w:r>
          </w:p>
        </w:tc>
        <w:tc>
          <w:tcPr>
            <w:tcW w:w="774" w:type="dxa"/>
            <w:vAlign w:val="center"/>
          </w:tcPr>
          <w:p w14:paraId="46393658" w14:textId="36706C2F" w:rsidR="00943649" w:rsidRDefault="00943649" w:rsidP="00943649">
            <w:pPr>
              <w:pStyle w:val="Text"/>
              <w:ind w:firstLine="0"/>
              <w:jc w:val="left"/>
              <w:rPr>
                <w:rFonts w:ascii="Calibri" w:hAnsi="Calibri"/>
              </w:rPr>
            </w:pPr>
            <w:r w:rsidRPr="00943649">
              <w:rPr>
                <w:rFonts w:ascii="Calibri" w:hAnsi="Calibri"/>
              </w:rPr>
              <w:t>Undefined</w:t>
            </w:r>
          </w:p>
        </w:tc>
        <w:tc>
          <w:tcPr>
            <w:tcW w:w="1754" w:type="dxa"/>
            <w:vAlign w:val="center"/>
          </w:tcPr>
          <w:p w14:paraId="1BE6A32A" w14:textId="4EABA48A" w:rsidR="00943649" w:rsidRDefault="00943649" w:rsidP="00E855D5">
            <w:pPr>
              <w:pStyle w:val="Text"/>
              <w:spacing w:before="60" w:after="60"/>
              <w:ind w:firstLine="0"/>
              <w:jc w:val="left"/>
              <w:rPr>
                <w:rFonts w:ascii="Calibri" w:hAnsi="Calibri"/>
              </w:rPr>
            </w:pPr>
            <w:r w:rsidRPr="00943649">
              <w:rPr>
                <w:rFonts w:ascii="Calibri" w:hAnsi="Calibri"/>
              </w:rPr>
              <w:t>No statistical significance</w:t>
            </w:r>
          </w:p>
        </w:tc>
      </w:tr>
    </w:tbl>
    <w:p w14:paraId="322B07D4" w14:textId="77777777" w:rsidR="00943649" w:rsidRDefault="00943649" w:rsidP="00E855D5">
      <w:pPr>
        <w:pStyle w:val="Text"/>
        <w:spacing w:before="60"/>
        <w:ind w:firstLine="204"/>
        <w:rPr>
          <w:rFonts w:ascii="Calibri" w:hAnsi="Calibri"/>
        </w:rPr>
      </w:pPr>
      <w:r w:rsidRPr="00943649">
        <w:rPr>
          <w:rFonts w:ascii="Calibri" w:hAnsi="Calibri"/>
        </w:rPr>
        <w:t>To analyze the effect of foreign investment flows, a Vector Autoregression (VAR) model was implemented:</w:t>
      </w:r>
    </w:p>
    <w:p w14:paraId="37D82536" w14:textId="77777777" w:rsidR="00943649" w:rsidRPr="00943649" w:rsidRDefault="00000000" w:rsidP="00943649">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Y</m:t>
                  </m:r>
                </m:e>
                <m:sub>
                  <m:r>
                    <w:rPr>
                      <w:rFonts w:ascii="Cambria Math" w:hAnsi="Cambria Math"/>
                    </w:rPr>
                    <m:t>t</m:t>
                  </m:r>
                </m:sub>
              </m:sSub>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p</m:t>
                  </m:r>
                </m:sub>
              </m:sSub>
              <m:sSub>
                <m:sSubPr>
                  <m:ctrlPr>
                    <w:rPr>
                      <w:rFonts w:ascii="Cambria Math" w:hAnsi="Cambria Math"/>
                    </w:rPr>
                  </m:ctrlPr>
                </m:sSub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w:rPr>
                  <w:rFonts w:ascii="Cambria Math" w:hAnsi="Cambria Math"/>
                </w:rPr>
                <m:t>#</m:t>
              </m:r>
              <m:d>
                <m:dPr>
                  <m:ctrlPr>
                    <w:rPr>
                      <w:rFonts w:ascii="Cambria Math" w:hAnsi="Cambria Math"/>
                      <w:i/>
                    </w:rPr>
                  </m:ctrlPr>
                </m:dPr>
                <m:e>
                  <m:r>
                    <w:rPr>
                      <w:rFonts w:ascii="Cambria Math" w:hAnsi="Cambria Math"/>
                    </w:rPr>
                    <m:t>16</m:t>
                  </m:r>
                </m:e>
              </m:d>
            </m:e>
          </m:eqArr>
        </m:oMath>
      </m:oMathPara>
    </w:p>
    <w:p w14:paraId="7A18503F" w14:textId="77777777" w:rsidR="00943649" w:rsidRDefault="00943649" w:rsidP="00943649">
      <w:pPr>
        <w:pStyle w:val="Text"/>
        <w:rPr>
          <w:rFonts w:ascii="Calibri" w:hAnsi="Calibri"/>
        </w:rPr>
      </w:pPr>
      <w:r w:rsidRPr="00943649">
        <w:rPr>
          <w:rFonts w:ascii="Calibri" w:hAnsi="Calibri"/>
        </w:rPr>
        <w:t>Where</w:t>
      </w:r>
    </w:p>
    <w:p w14:paraId="11CB739B" w14:textId="77777777" w:rsidR="00943649" w:rsidRPr="00943649" w:rsidRDefault="00000000" w:rsidP="00943649">
      <w:pPr>
        <w:pStyle w:val="Text"/>
        <w:rPr>
          <w:rFonts w:ascii="Calibri" w:hAnsi="Calibri"/>
        </w:rPr>
      </w:pPr>
      <m:oMath>
        <m:sSub>
          <m:sSubPr>
            <m:ctrlPr>
              <w:rPr>
                <w:rFonts w:ascii="Cambria Math" w:hAnsi="Cambria Math"/>
                <w:i/>
              </w:rPr>
            </m:ctrlPr>
          </m:sSubPr>
          <m:e>
            <m:r>
              <w:rPr>
                <w:rFonts w:ascii="Cambria Math" w:hAnsi="Cambria Math"/>
              </w:rPr>
              <m:t>Y</m:t>
            </m:r>
          </m:e>
          <m:sub>
            <m:r>
              <w:rPr>
                <w:rFonts w:ascii="Cambria Math" w:hAnsi="Cambria Math"/>
              </w:rPr>
              <m:t>t</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t</m:t>
                    </m:r>
                  </m:sub>
                </m:sSub>
              </m:e>
            </m:d>
          </m:e>
          <m:sup>
            <m:r>
              <w:rPr>
                <w:rFonts w:ascii="Cambria Math" w:hAnsi="Cambria Math"/>
              </w:rPr>
              <m:t>T</m:t>
            </m:r>
          </m:sup>
        </m:sSup>
      </m:oMath>
      <w:r w:rsidR="00943649">
        <w:rPr>
          <w:rFonts w:ascii="Calibri" w:hAnsi="Calibri"/>
        </w:rPr>
        <w:t>,</w:t>
      </w:r>
    </w:p>
    <w:p w14:paraId="451EB862" w14:textId="77777777" w:rsidR="00943649" w:rsidRDefault="00000000" w:rsidP="00943649">
      <w:pPr>
        <w:pStyle w:val="Text"/>
        <w:rPr>
          <w:rFonts w:ascii="Calibri" w:hAnsi="Calibri"/>
        </w:rPr>
      </w:pPr>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=VN-Index daily return</m:t>
        </m:r>
      </m:oMath>
      <w:r w:rsidR="00943649">
        <w:rPr>
          <w:rFonts w:ascii="Calibri" w:hAnsi="Calibri"/>
        </w:rPr>
        <w:t>,</w:t>
      </w:r>
    </w:p>
    <w:p w14:paraId="46944E7C" w14:textId="77777777" w:rsidR="00943649" w:rsidRPr="00943649" w:rsidRDefault="00000000" w:rsidP="00943649">
      <w:pPr>
        <w:pStyle w:val="Text"/>
        <w:rPr>
          <w:rFonts w:ascii="Calibri" w:hAnsi="Calibri"/>
        </w:rPr>
      </w:pPr>
      <m:oMath>
        <m:sSub>
          <m:sSubPr>
            <m:ctrlPr>
              <w:rPr>
                <w:rFonts w:ascii="Cambria Math" w:hAnsi="Cambria Math"/>
                <w:i/>
              </w:rPr>
            </m:ctrlPr>
          </m:sSubPr>
          <m:e>
            <m:r>
              <w:rPr>
                <w:rFonts w:ascii="Cambria Math" w:hAnsi="Cambria Math"/>
              </w:rPr>
              <m:t>F</m:t>
            </m:r>
          </m:e>
          <m:sub>
            <m:r>
              <w:rPr>
                <w:rFonts w:ascii="Cambria Math" w:hAnsi="Cambria Math"/>
              </w:rPr>
              <m:t>t</m:t>
            </m:r>
          </m:sub>
        </m:sSub>
        <m:r>
          <w:rPr>
            <w:rFonts w:ascii="Cambria Math" w:hAnsi="Cambria Math"/>
          </w:rPr>
          <m:t>=net foreign trading volume</m:t>
        </m:r>
      </m:oMath>
      <w:r w:rsidR="00943649">
        <w:t xml:space="preserve"> </w:t>
      </w:r>
    </w:p>
    <w:p w14:paraId="4293BE71" w14:textId="3F66E93D" w:rsidR="00943649" w:rsidRPr="00943649" w:rsidRDefault="00943649" w:rsidP="00943649">
      <w:pPr>
        <w:pStyle w:val="Text"/>
        <w:rPr>
          <w:rFonts w:ascii="Calibri" w:hAnsi="Calibri"/>
        </w:rPr>
      </w:pPr>
      <w:r w:rsidRPr="00943649">
        <w:rPr>
          <w:rFonts w:ascii="Calibri" w:hAnsi="Calibri"/>
        </w:rPr>
        <w:t>The impulse response function (IRF) results (</w:t>
      </w:r>
      <w:r w:rsidRPr="000342BC">
        <w:rPr>
          <w:rFonts w:ascii="Calibri" w:hAnsi="Calibri"/>
          <w:color w:val="0070C0"/>
        </w:rPr>
        <w:t xml:space="preserve">Table </w:t>
      </w:r>
      <w:r w:rsidR="000342BC" w:rsidRPr="000342BC">
        <w:rPr>
          <w:rFonts w:ascii="Calibri" w:hAnsi="Calibri"/>
          <w:color w:val="0070C0"/>
        </w:rPr>
        <w:t>II</w:t>
      </w:r>
      <w:r w:rsidRPr="00943649">
        <w:rPr>
          <w:rFonts w:ascii="Calibri" w:hAnsi="Calibri"/>
        </w:rPr>
        <w:t>) reveal that a 1% increase in foreign net buying generates a 0.3–0.4% increase in VN-Index return after one day, confirming short-term causality.</w:t>
      </w:r>
    </w:p>
    <w:p w14:paraId="53BAB90F" w14:textId="667B36D9" w:rsidR="00943649" w:rsidRPr="003E4C65" w:rsidRDefault="003E4C65" w:rsidP="003E4C65">
      <w:pPr>
        <w:pStyle w:val="Text"/>
        <w:spacing w:before="120" w:after="60"/>
        <w:ind w:firstLine="204"/>
        <w:outlineLvl w:val="1"/>
        <w:rPr>
          <w:rFonts w:ascii="Calibri" w:hAnsi="Calibri"/>
          <w:i/>
          <w:iCs/>
        </w:rPr>
      </w:pPr>
      <w:r w:rsidRPr="003E4C65">
        <w:rPr>
          <w:rFonts w:ascii="Calibri" w:hAnsi="Calibri"/>
          <w:i/>
          <w:iCs/>
        </w:rPr>
        <w:t>C.   Volatility and Risk Estimation using GARCH(1,1)</w:t>
      </w:r>
    </w:p>
    <w:p w14:paraId="553ABE12" w14:textId="42FE9E48" w:rsidR="003E4C65" w:rsidRDefault="003E4C65" w:rsidP="003E4C65">
      <w:pPr>
        <w:pStyle w:val="Text"/>
        <w:rPr>
          <w:rFonts w:ascii="Calibri" w:hAnsi="Calibri"/>
        </w:rPr>
      </w:pPr>
      <w:r w:rsidRPr="003E4C65">
        <w:rPr>
          <w:rFonts w:ascii="Calibri" w:hAnsi="Calibri"/>
        </w:rPr>
        <w:t>The volatility of daily returns is modeled using the GARCH(1,1) process</w:t>
      </w:r>
    </w:p>
    <w:p w14:paraId="3709A2CD" w14:textId="497A2A29" w:rsidR="003E4C65" w:rsidRPr="003E4C65" w:rsidRDefault="00000000" w:rsidP="003E4C65">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r</m:t>
                  </m:r>
                </m:e>
                <m:sub>
                  <m:r>
                    <w:rPr>
                      <w:rFonts w:ascii="Cambria Math" w:hAnsi="Cambria Math"/>
                    </w:rPr>
                    <m:t>t</m:t>
                  </m:r>
                </m:sub>
              </m:sSub>
              <m:r>
                <m:rPr>
                  <m:sty m:val="p"/>
                </m:rPr>
                <w:rPr>
                  <w:rFonts w:ascii="Cambria Math" w:hAnsi="Cambria Math"/>
                </w:rPr>
                <m:t>=</m:t>
              </m:r>
              <m:r>
                <w:rPr>
                  <w:rFonts w:ascii="Cambria Math" w:hAnsi="Cambria Math"/>
                </w:rPr>
                <m:t>μ</m:t>
              </m:r>
              <m:r>
                <m:rPr>
                  <m:sty m:val="p"/>
                </m:rPr>
                <w:rPr>
                  <w:rFonts w:ascii="Cambria Math" w:hAnsi="Cambria Math"/>
                </w:rPr>
                <m:t>+</m:t>
              </m:r>
              <m:sSub>
                <m:sSubPr>
                  <m:ctrlPr>
                    <w:rPr>
                      <w:rFonts w:ascii="Cambria Math" w:hAnsi="Cambria Math"/>
                    </w:rPr>
                  </m:ctrlPr>
                </m:sSubPr>
                <m:e>
                  <m:r>
                    <w:rPr>
                      <w:rFonts w:ascii="Cambria Math" w:hAnsi="Cambria Math"/>
                    </w:rPr>
                    <m:t>ε</m:t>
                  </m:r>
                </m:e>
                <m:sub>
                  <m:r>
                    <w:rPr>
                      <w:rFonts w:ascii="Cambria Math" w:hAnsi="Cambria Math"/>
                    </w:rPr>
                    <m:t>t</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ε</m:t>
                  </m:r>
                </m:e>
                <m:sub>
                  <m:r>
                    <w:rPr>
                      <w:rFonts w:ascii="Cambria Math" w:hAnsi="Cambria Math"/>
                    </w:rPr>
                    <m:t>t</m:t>
                  </m:r>
                </m:sub>
              </m:sSub>
              <m:r>
                <m:rPr>
                  <m:sty m:val="p"/>
                </m:rPr>
                <w:rPr>
                  <w:rFonts w:ascii="Cambria Math" w:hAnsi="Cambria Math"/>
                </w:rPr>
                <m:t>~</m:t>
              </m:r>
              <m:r>
                <w:rPr>
                  <w:rFonts w:ascii="Cambria Math" w:hAnsi="Cambria Math"/>
                </w:rPr>
                <m:t>N</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h</m:t>
                      </m:r>
                    </m:e>
                    <m:sub>
                      <m:r>
                        <w:rPr>
                          <w:rFonts w:ascii="Cambria Math" w:hAnsi="Cambria Math"/>
                        </w:rPr>
                        <m:t>t</m:t>
                      </m:r>
                    </m:sub>
                  </m:sSub>
                </m:e>
              </m:d>
              <m:r>
                <w:rPr>
                  <w:rFonts w:ascii="Cambria Math" w:hAnsi="Cambria Math"/>
                </w:rPr>
                <m:t>#</m:t>
              </m:r>
              <m:d>
                <m:dPr>
                  <m:ctrlPr>
                    <w:rPr>
                      <w:rFonts w:ascii="Cambria Math" w:hAnsi="Cambria Math"/>
                      <w:i/>
                    </w:rPr>
                  </m:ctrlPr>
                </m:dPr>
                <m:e>
                  <m:r>
                    <w:rPr>
                      <w:rFonts w:ascii="Cambria Math" w:hAnsi="Cambria Math"/>
                    </w:rPr>
                    <m:t>17</m:t>
                  </m:r>
                </m:e>
              </m:d>
            </m:e>
          </m:eqArr>
        </m:oMath>
      </m:oMathPara>
    </w:p>
    <w:p w14:paraId="195EBCF2" w14:textId="6A59395E" w:rsidR="003E4C65" w:rsidRPr="003E4C65" w:rsidRDefault="00000000" w:rsidP="003E4C65">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rPr>
                  </m:ctrlPr>
                </m:sSubPr>
                <m:e>
                  <m:r>
                    <w:rPr>
                      <w:rFonts w:ascii="Cambria Math" w:hAnsi="Cambria Math"/>
                    </w:rPr>
                    <m:t>h</m:t>
                  </m:r>
                </m:e>
                <m:sub>
                  <m:r>
                    <w:rPr>
                      <w:rFonts w:ascii="Cambria Math" w:hAnsi="Cambria Math"/>
                    </w:rPr>
                    <m:t>t</m:t>
                  </m:r>
                </m:sub>
              </m:sSub>
              <m:r>
                <m:rPr>
                  <m:sty m:val="p"/>
                </m:rPr>
                <w:rPr>
                  <w:rFonts w:ascii="Cambria Math" w:hAnsi="Cambria Math"/>
                </w:rPr>
                <m:t>=</m:t>
              </m:r>
              <m:r>
                <w:rPr>
                  <w:rFonts w:ascii="Cambria Math" w:hAnsi="Cambria Math"/>
                </w:rPr>
                <m:t>ω</m:t>
              </m:r>
              <m:r>
                <m:rPr>
                  <m:sty m:val="p"/>
                </m:rPr>
                <w:rPr>
                  <w:rFonts w:ascii="Cambria Math" w:hAnsi="Cambria Math"/>
                </w:rPr>
                <m:t>+</m:t>
              </m:r>
              <m:r>
                <w:rPr>
                  <w:rFonts w:ascii="Cambria Math" w:hAnsi="Cambria Math"/>
                </w:rPr>
                <m:t>α</m:t>
              </m:r>
              <m:sSubSup>
                <m:sSubSupPr>
                  <m:ctrlPr>
                    <w:rPr>
                      <w:rFonts w:ascii="Cambria Math" w:hAnsi="Cambria Math"/>
                    </w:rPr>
                  </m:ctrlPr>
                </m:sSubSupPr>
                <m:e>
                  <m:r>
                    <w:rPr>
                      <w:rFonts w:ascii="Cambria Math" w:hAnsi="Cambria Math"/>
                    </w:rPr>
                    <m:t>ε</m:t>
                  </m:r>
                </m:e>
                <m:sub>
                  <m:r>
                    <w:rPr>
                      <w:rFonts w:ascii="Cambria Math" w:hAnsi="Cambria Math"/>
                    </w:rPr>
                    <m:t>t</m:t>
                  </m:r>
                  <m:r>
                    <m:rPr>
                      <m:sty m:val="p"/>
                    </m:rPr>
                    <w:rPr>
                      <w:rFonts w:ascii="Cambria Math" w:hAnsi="Cambria Math"/>
                    </w:rPr>
                    <m:t>-1</m:t>
                  </m:r>
                </m:sub>
                <m:sup>
                  <m:r>
                    <w:rPr>
                      <w:rFonts w:ascii="Cambria Math" w:hAnsi="Cambria Math"/>
                    </w:rPr>
                    <m:t>t</m:t>
                  </m:r>
                </m:sup>
              </m:sSubSup>
              <m:r>
                <m:rPr>
                  <m:sty m:val="p"/>
                </m:rPr>
                <w:rPr>
                  <w:rFonts w:ascii="Cambria Math" w:hAnsi="Cambria Math"/>
                </w:rPr>
                <m:t>+</m:t>
              </m:r>
              <m:r>
                <w:rPr>
                  <w:rFonts w:ascii="Cambria Math" w:hAnsi="Cambria Math"/>
                </w:rPr>
                <m:t>β</m:t>
              </m:r>
              <m:sSub>
                <m:sSubPr>
                  <m:ctrlPr>
                    <w:rPr>
                      <w:rFonts w:ascii="Cambria Math" w:hAnsi="Cambria Math"/>
                    </w:rPr>
                  </m:ctrlPr>
                </m:sSubPr>
                <m:e>
                  <m:r>
                    <w:rPr>
                      <w:rFonts w:ascii="Cambria Math" w:hAnsi="Cambria Math"/>
                    </w:rPr>
                    <m:t>h</m:t>
                  </m:r>
                </m:e>
                <m:sub>
                  <m:r>
                    <w:rPr>
                      <w:rFonts w:ascii="Cambria Math" w:hAnsi="Cambria Math"/>
                    </w:rPr>
                    <m:t>t</m:t>
                  </m:r>
                  <m:r>
                    <m:rPr>
                      <m:sty m:val="p"/>
                    </m:rPr>
                    <w:rPr>
                      <w:rFonts w:ascii="Cambria Math" w:hAnsi="Cambria Math"/>
                    </w:rPr>
                    <m:t>-1</m:t>
                  </m:r>
                </m:sub>
              </m:sSub>
              <m:r>
                <w:rPr>
                  <w:rFonts w:ascii="Cambria Math" w:hAnsi="Cambria Math"/>
                </w:rPr>
                <m:t>#</m:t>
              </m:r>
              <m:d>
                <m:dPr>
                  <m:ctrlPr>
                    <w:rPr>
                      <w:rFonts w:ascii="Cambria Math" w:hAnsi="Cambria Math"/>
                      <w:i/>
                    </w:rPr>
                  </m:ctrlPr>
                </m:dPr>
                <m:e>
                  <m:r>
                    <w:rPr>
                      <w:rFonts w:ascii="Cambria Math" w:hAnsi="Cambria Math"/>
                    </w:rPr>
                    <m:t>18</m:t>
                  </m:r>
                </m:e>
              </m:d>
            </m:e>
          </m:eqArr>
        </m:oMath>
      </m:oMathPara>
    </w:p>
    <w:p w14:paraId="68D7FFD1" w14:textId="77777777" w:rsidR="003E4C65" w:rsidRPr="003E4C65" w:rsidRDefault="003E4C65" w:rsidP="003E4C65">
      <w:pPr>
        <w:pStyle w:val="Text"/>
        <w:rPr>
          <w:rFonts w:ascii="Calibri" w:hAnsi="Calibri"/>
        </w:rPr>
      </w:pPr>
      <w:r w:rsidRPr="003E4C65">
        <w:rPr>
          <w:rFonts w:ascii="Calibri" w:hAnsi="Calibri"/>
        </w:rPr>
        <w:t>Estimated parameters (α=0.21,β=0.74) satisfy α+β &lt;1, indicating stationarity and mean reversion.</w:t>
      </w:r>
    </w:p>
    <w:p w14:paraId="417DD330" w14:textId="518CA2F5" w:rsidR="003E4C65" w:rsidRPr="003E4C65" w:rsidRDefault="003E4C65" w:rsidP="003E4C65">
      <w:pPr>
        <w:pStyle w:val="Text"/>
        <w:rPr>
          <w:rFonts w:ascii="Calibri" w:hAnsi="Calibri"/>
        </w:rPr>
      </w:pPr>
      <w:r w:rsidRPr="003E4C65">
        <w:rPr>
          <w:rFonts w:ascii="Calibri" w:hAnsi="Calibri"/>
        </w:rPr>
        <w:t xml:space="preserve">Periods such as March 2020 and May 2023 exhibit pronounced volatility spikes (see </w:t>
      </w:r>
      <w:r w:rsidRPr="00EC00F7">
        <w:rPr>
          <w:rFonts w:ascii="Calibri" w:hAnsi="Calibri"/>
          <w:color w:val="0070C0"/>
        </w:rPr>
        <w:t>Fig</w:t>
      </w:r>
      <w:r w:rsidR="00A125F3" w:rsidRPr="00EC00F7">
        <w:rPr>
          <w:rFonts w:ascii="Calibri" w:hAnsi="Calibri"/>
          <w:color w:val="0070C0"/>
        </w:rPr>
        <w:t>.</w:t>
      </w:r>
      <w:r w:rsidRPr="00EC00F7">
        <w:rPr>
          <w:rFonts w:ascii="Calibri" w:hAnsi="Calibri"/>
          <w:color w:val="0070C0"/>
        </w:rPr>
        <w:t>4</w:t>
      </w:r>
      <w:r w:rsidRPr="003E4C65">
        <w:rPr>
          <w:rFonts w:ascii="Calibri" w:hAnsi="Calibri"/>
        </w:rPr>
        <w:t>: Conditional variance plot).</w:t>
      </w:r>
    </w:p>
    <w:p w14:paraId="50CE142A" w14:textId="77777777" w:rsidR="003E4C65" w:rsidRDefault="003E4C65" w:rsidP="003E4C65">
      <w:pPr>
        <w:pStyle w:val="Text"/>
        <w:rPr>
          <w:rFonts w:ascii="Calibri" w:hAnsi="Calibri"/>
        </w:rPr>
      </w:pPr>
      <w:r w:rsidRPr="003E4C65">
        <w:rPr>
          <w:rFonts w:ascii="Calibri" w:hAnsi="Calibri"/>
        </w:rPr>
        <w:t>This confirms that the Vietnamese stock market exhibits volatility clustering, a key property of emerging markets and a critical input for Value-at-Risk (</w:t>
      </w:r>
      <w:proofErr w:type="spellStart"/>
      <w:r w:rsidRPr="003E4C65">
        <w:rPr>
          <w:rFonts w:ascii="Calibri" w:hAnsi="Calibri"/>
        </w:rPr>
        <w:t>VaR</w:t>
      </w:r>
      <w:proofErr w:type="spellEnd"/>
      <w:r w:rsidRPr="003E4C65">
        <w:rPr>
          <w:rFonts w:ascii="Calibri" w:hAnsi="Calibri"/>
        </w:rPr>
        <w:t>) analysis</w:t>
      </w:r>
      <w:r>
        <w:rPr>
          <w:rFonts w:ascii="Calibri" w:hAnsi="Calibri"/>
        </w:rPr>
        <w:t>.</w:t>
      </w:r>
    </w:p>
    <w:p w14:paraId="24CE0C45" w14:textId="39956267" w:rsidR="00284ACB" w:rsidRPr="00284ACB" w:rsidRDefault="00284ACB" w:rsidP="00284ACB">
      <w:pPr>
        <w:pStyle w:val="Text"/>
        <w:spacing w:before="120" w:after="120"/>
        <w:ind w:firstLine="0"/>
        <w:rPr>
          <w:rFonts w:ascii="Calibri" w:hAnsi="Calibri"/>
        </w:rPr>
      </w:pPr>
      <w:r w:rsidRPr="00DE1517">
        <w:rPr>
          <w:noProof/>
        </w:rPr>
        <w:drawing>
          <wp:inline distT="0" distB="0" distL="0" distR="0" wp14:anchorId="32ECCBA8" wp14:editId="05CC219A">
            <wp:extent cx="2905123" cy="1549400"/>
            <wp:effectExtent l="0" t="0" r="0" b="0"/>
            <wp:docPr id="1026" name="Picture 2" descr="A graph with red and blue lines&#10;&#10;AI-generated content may be incorrect.">
              <a:extLst xmlns:a="http://schemas.openxmlformats.org/drawingml/2006/main">
                <a:ext uri="{FF2B5EF4-FFF2-40B4-BE49-F238E27FC236}">
                  <a16:creationId xmlns:a16="http://schemas.microsoft.com/office/drawing/2014/main" id="{BBD7501B-5574-2A51-44A3-69FD788E2E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graph with red and blue lines&#10;&#10;AI-generated content may be incorrect.">
                      <a:extLst>
                        <a:ext uri="{FF2B5EF4-FFF2-40B4-BE49-F238E27FC236}">
                          <a16:creationId xmlns:a16="http://schemas.microsoft.com/office/drawing/2014/main" id="{BBD7501B-5574-2A51-44A3-69FD788E2E34}"/>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6373" cy="1555400"/>
                    </a:xfrm>
                    <a:prstGeom prst="rect">
                      <a:avLst/>
                    </a:prstGeom>
                    <a:noFill/>
                  </pic:spPr>
                </pic:pic>
              </a:graphicData>
            </a:graphic>
          </wp:inline>
        </w:drawing>
      </w:r>
    </w:p>
    <w:p w14:paraId="677ED95B" w14:textId="0FB9868A" w:rsidR="00284ACB" w:rsidRDefault="00284ACB" w:rsidP="00603B34">
      <w:pPr>
        <w:pStyle w:val="Text"/>
        <w:jc w:val="center"/>
        <w:rPr>
          <w:rFonts w:ascii="Calibri" w:hAnsi="Calibri"/>
        </w:rPr>
      </w:pPr>
      <w:r w:rsidRPr="00284ACB">
        <w:rPr>
          <w:rFonts w:ascii="Calibri" w:hAnsi="Calibri"/>
        </w:rPr>
        <w:t>Fig.4  VN-Index fluctuations and sessions with strong capital inflows</w:t>
      </w:r>
    </w:p>
    <w:p w14:paraId="6DE13268" w14:textId="0A82A3AF" w:rsidR="003E4C65" w:rsidRPr="003E4C65" w:rsidRDefault="003E4C65" w:rsidP="003E4C65">
      <w:pPr>
        <w:pStyle w:val="Text"/>
        <w:spacing w:before="120" w:after="60"/>
        <w:ind w:firstLine="204"/>
        <w:outlineLvl w:val="1"/>
        <w:rPr>
          <w:rFonts w:ascii="Calibri" w:hAnsi="Calibri"/>
          <w:i/>
          <w:iCs/>
        </w:rPr>
      </w:pPr>
      <w:r w:rsidRPr="003E4C65">
        <w:rPr>
          <w:rFonts w:ascii="Calibri" w:hAnsi="Calibri"/>
          <w:i/>
          <w:iCs/>
        </w:rPr>
        <w:t>D.   Technical Signal Forecasting (RSI and MACD)</w:t>
      </w:r>
    </w:p>
    <w:p w14:paraId="5C748573" w14:textId="77777777" w:rsidR="003E4C65" w:rsidRDefault="003E4C65" w:rsidP="003E4C65">
      <w:pPr>
        <w:pStyle w:val="Text"/>
        <w:rPr>
          <w:rFonts w:ascii="Calibri" w:hAnsi="Calibri"/>
        </w:rPr>
      </w:pPr>
      <w:r w:rsidRPr="003E4C65">
        <w:rPr>
          <w:rFonts w:ascii="Calibri" w:hAnsi="Calibri"/>
        </w:rPr>
        <w:t>Finally, technical indicators were employed to validate short-term predictive ability</w:t>
      </w:r>
      <w:r>
        <w:rPr>
          <w:rFonts w:ascii="Calibri" w:hAnsi="Calibri"/>
        </w:rPr>
        <w:t xml:space="preserve"> </w:t>
      </w:r>
    </w:p>
    <w:p w14:paraId="4CAFC343" w14:textId="596A420B" w:rsidR="003E4C65" w:rsidRDefault="003E4C65" w:rsidP="003E4C65">
      <w:pPr>
        <w:pStyle w:val="Text"/>
        <w:rPr>
          <w:rFonts w:ascii="Calibri" w:hAnsi="Calibri"/>
        </w:rPr>
      </w:pPr>
      <w:r w:rsidRPr="003E4C65">
        <w:rPr>
          <w:rFonts w:ascii="Calibri" w:hAnsi="Calibri"/>
        </w:rPr>
        <w:t>RSI:</w:t>
      </w:r>
      <w:r>
        <w:rPr>
          <w:rFonts w:ascii="Calibri" w:hAnsi="Calibri"/>
        </w:rPr>
        <w:t xml:space="preserve"> </w:t>
      </w:r>
    </w:p>
    <w:p w14:paraId="6C968A0D" w14:textId="64771070" w:rsidR="003E4C65" w:rsidRPr="003E4C65" w:rsidRDefault="00000000" w:rsidP="003E4C65">
      <w:pPr>
        <w:pStyle w:val="Text"/>
        <w:rPr>
          <w:rFonts w:ascii="Calibri" w:hAnsi="Calibri"/>
        </w:rPr>
      </w:pPr>
      <m:oMathPara>
        <m:oMath>
          <m:eqArr>
            <m:eqArrPr>
              <m:maxDist m:val="1"/>
              <m:ctrlPr>
                <w:rPr>
                  <w:rFonts w:ascii="Cambria Math" w:hAnsi="Cambria Math"/>
                  <w:i/>
                </w:rPr>
              </m:ctrlPr>
            </m:eqArrPr>
            <m:e>
              <m:r>
                <w:rPr>
                  <w:rFonts w:ascii="Cambria Math" w:hAnsi="Cambria Math"/>
                </w:rPr>
                <m:t>SI</m:t>
              </m:r>
              <m:r>
                <m:rPr>
                  <m:sty m:val="p"/>
                </m:rPr>
                <w:rPr>
                  <w:rFonts w:ascii="Cambria Math" w:hAnsi="Cambria Math"/>
                </w:rPr>
                <m:t xml:space="preserve">=100- </m:t>
              </m:r>
              <m:f>
                <m:fPr>
                  <m:ctrlPr>
                    <w:rPr>
                      <w:rFonts w:ascii="Cambria Math" w:hAnsi="Cambria Math"/>
                    </w:rPr>
                  </m:ctrlPr>
                </m:fPr>
                <m:num>
                  <m:r>
                    <m:rPr>
                      <m:sty m:val="p"/>
                    </m:rPr>
                    <w:rPr>
                      <w:rFonts w:ascii="Cambria Math" w:hAnsi="Cambria Math"/>
                    </w:rPr>
                    <m:t>100</m:t>
                  </m:r>
                </m:num>
                <m:den>
                  <m:r>
                    <m:rPr>
                      <m:sty m:val="p"/>
                    </m:rPr>
                    <w:rPr>
                      <w:rFonts w:ascii="Cambria Math" w:hAnsi="Cambria Math"/>
                    </w:rPr>
                    <m:t>1+</m:t>
                  </m:r>
                  <m:r>
                    <w:rPr>
                      <w:rFonts w:ascii="Cambria Math" w:hAnsi="Cambria Math"/>
                    </w:rPr>
                    <m:t>RS</m:t>
                  </m:r>
                </m:den>
              </m:f>
              <m:r>
                <m:rPr>
                  <m:sty m:val="p"/>
                </m:rPr>
                <w:rPr>
                  <w:rFonts w:ascii="Cambria Math" w:hAnsi="Cambria Math"/>
                </w:rPr>
                <m:t xml:space="preserve"> , </m:t>
              </m:r>
              <m:r>
                <w:rPr>
                  <w:rFonts w:ascii="Cambria Math" w:hAnsi="Cambria Math"/>
                </w:rPr>
                <m:t>RS</m:t>
              </m:r>
              <m:r>
                <m:rPr>
                  <m:sty m:val="p"/>
                </m:rPr>
                <w:rPr>
                  <w:rFonts w:ascii="Cambria Math" w:hAnsi="Cambria Math"/>
                </w:rPr>
                <m:t>=</m:t>
              </m:r>
              <m:f>
                <m:fPr>
                  <m:ctrlPr>
                    <w:rPr>
                      <w:rFonts w:ascii="Cambria Math" w:hAnsi="Cambria Math"/>
                    </w:rPr>
                  </m:ctrlPr>
                </m:fPr>
                <m:num>
                  <m:r>
                    <w:rPr>
                      <w:rFonts w:ascii="Cambria Math" w:hAnsi="Cambria Math"/>
                    </w:rPr>
                    <m:t>Avg</m:t>
                  </m:r>
                  <m:r>
                    <m:rPr>
                      <m:sty m:val="p"/>
                    </m:rPr>
                    <w:rPr>
                      <w:rFonts w:ascii="Cambria Math" w:hAnsi="Cambria Math"/>
                    </w:rPr>
                    <m:t xml:space="preserve"> </m:t>
                  </m:r>
                  <m:r>
                    <w:rPr>
                      <w:rFonts w:ascii="Cambria Math" w:hAnsi="Cambria Math"/>
                    </w:rPr>
                    <m:t>Gain</m:t>
                  </m:r>
                </m:num>
                <m:den>
                  <m:r>
                    <w:rPr>
                      <w:rFonts w:ascii="Cambria Math" w:hAnsi="Cambria Math"/>
                    </w:rPr>
                    <m:t>Avg</m:t>
                  </m:r>
                  <m:r>
                    <m:rPr>
                      <m:sty m:val="p"/>
                    </m:rPr>
                    <w:rPr>
                      <w:rFonts w:ascii="Cambria Math" w:hAnsi="Cambria Math"/>
                    </w:rPr>
                    <m:t xml:space="preserve"> </m:t>
                  </m:r>
                  <m:r>
                    <w:rPr>
                      <w:rFonts w:ascii="Cambria Math" w:hAnsi="Cambria Math"/>
                    </w:rPr>
                    <m:t>Loss</m:t>
                  </m:r>
                </m:den>
              </m:f>
              <m:r>
                <w:rPr>
                  <w:rFonts w:ascii="Cambria Math" w:hAnsi="Cambria Math"/>
                </w:rPr>
                <m:t>#</m:t>
              </m:r>
              <m:d>
                <m:dPr>
                  <m:ctrlPr>
                    <w:rPr>
                      <w:rFonts w:ascii="Cambria Math" w:hAnsi="Cambria Math"/>
                      <w:i/>
                    </w:rPr>
                  </m:ctrlPr>
                </m:dPr>
                <m:e>
                  <m:r>
                    <w:rPr>
                      <w:rFonts w:ascii="Cambria Math" w:hAnsi="Cambria Math"/>
                    </w:rPr>
                    <m:t>19</m:t>
                  </m:r>
                </m:e>
              </m:d>
            </m:e>
          </m:eqArr>
        </m:oMath>
      </m:oMathPara>
    </w:p>
    <w:p w14:paraId="52AEF4E9" w14:textId="77777777" w:rsidR="003E4C65" w:rsidRPr="003E4C65" w:rsidRDefault="003E4C65" w:rsidP="003E4C65">
      <w:pPr>
        <w:pStyle w:val="Text"/>
        <w:rPr>
          <w:rFonts w:ascii="Calibri" w:hAnsi="Calibri"/>
        </w:rPr>
      </w:pPr>
      <w:r w:rsidRPr="003E4C65">
        <w:rPr>
          <w:rFonts w:ascii="Calibri" w:hAnsi="Calibri"/>
        </w:rPr>
        <w:t>MACD:</w:t>
      </w:r>
    </w:p>
    <w:p w14:paraId="448750F3" w14:textId="0AD5C425" w:rsidR="003E4C65" w:rsidRDefault="003E4C65" w:rsidP="003E4C65">
      <w:pPr>
        <w:pStyle w:val="Text"/>
        <w:rPr>
          <w:rFonts w:ascii="Calibri" w:hAnsi="Calibri"/>
        </w:rPr>
      </w:pPr>
      <m:oMathPara>
        <m:oMath>
          <m:r>
            <w:rPr>
              <w:rFonts w:ascii="Cambria Math" w:hAnsi="Cambria Math"/>
            </w:rPr>
            <m:t xml:space="preserve">MACD= </m:t>
          </m:r>
          <m:sSub>
            <m:sSubPr>
              <m:ctrlPr>
                <w:rPr>
                  <w:rFonts w:ascii="Cambria Math" w:hAnsi="Cambria Math"/>
                  <w:i/>
                </w:rPr>
              </m:ctrlPr>
            </m:sSubPr>
            <m:e>
              <m:r>
                <w:rPr>
                  <w:rFonts w:ascii="Cambria Math" w:hAnsi="Cambria Math"/>
                </w:rPr>
                <m:t>EMA</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EMA</m:t>
              </m:r>
            </m:e>
            <m:sub>
              <m:r>
                <w:rPr>
                  <w:rFonts w:ascii="Cambria Math" w:hAnsi="Cambria Math"/>
                </w:rPr>
                <m:t>26</m:t>
              </m:r>
            </m:sub>
          </m:sSub>
          <m:r>
            <w:rPr>
              <w:rFonts w:ascii="Cambria Math" w:hAnsi="Cambria Math"/>
            </w:rPr>
            <m:t xml:space="preserve">,  Signa= </m:t>
          </m:r>
          <m:sSub>
            <m:sSubPr>
              <m:ctrlPr>
                <w:rPr>
                  <w:rFonts w:ascii="Cambria Math" w:hAnsi="Cambria Math"/>
                  <w:i/>
                </w:rPr>
              </m:ctrlPr>
            </m:sSubPr>
            <m:e>
              <m:r>
                <w:rPr>
                  <w:rFonts w:ascii="Cambria Math" w:hAnsi="Cambria Math"/>
                </w:rPr>
                <m:t>EMA</m:t>
              </m:r>
            </m:e>
            <m:sub>
              <m:r>
                <w:rPr>
                  <w:rFonts w:ascii="Cambria Math" w:hAnsi="Cambria Math"/>
                </w:rPr>
                <m:t>9</m:t>
              </m:r>
            </m:sub>
          </m:sSub>
          <m:d>
            <m:dPr>
              <m:ctrlPr>
                <w:rPr>
                  <w:rFonts w:ascii="Cambria Math" w:hAnsi="Cambria Math"/>
                  <w:i/>
                </w:rPr>
              </m:ctrlPr>
            </m:dPr>
            <m:e>
              <m:r>
                <w:rPr>
                  <w:rFonts w:ascii="Cambria Math" w:hAnsi="Cambria Math"/>
                </w:rPr>
                <m:t>MACD</m:t>
              </m:r>
            </m:e>
          </m:d>
          <m:r>
            <w:rPr>
              <w:rFonts w:ascii="Cambria Math" w:hAnsi="Cambria Math"/>
            </w:rPr>
            <m:t>,</m:t>
          </m:r>
        </m:oMath>
      </m:oMathPara>
    </w:p>
    <w:p w14:paraId="35131A36" w14:textId="4694CBF1" w:rsidR="003E4C65" w:rsidRPr="003E4C65" w:rsidRDefault="003E4C65" w:rsidP="003E4C65">
      <w:pPr>
        <w:pStyle w:val="Text"/>
        <w:ind w:firstLine="0"/>
        <w:rPr>
          <w:rFonts w:ascii="Calibri" w:hAnsi="Calibri"/>
        </w:rPr>
      </w:pPr>
      <w:r w:rsidRPr="003E4C65">
        <w:rPr>
          <w:rFonts w:ascii="Calibri" w:hAnsi="Calibri"/>
        </w:rPr>
        <w:t>Empirical back</w:t>
      </w:r>
      <w:r w:rsidR="00EF1063">
        <w:rPr>
          <w:rFonts w:ascii="Calibri" w:hAnsi="Calibri"/>
        </w:rPr>
        <w:t>-</w:t>
      </w:r>
      <w:r w:rsidRPr="003E4C65">
        <w:rPr>
          <w:rFonts w:ascii="Calibri" w:hAnsi="Calibri"/>
        </w:rPr>
        <w:t>testing across 10 liquid banking stocks showed that RSI divergence preceded price reversals with 75% accuracy, and MACD crossovers aligned with 80% of major trend shifts.</w:t>
      </w:r>
    </w:p>
    <w:p w14:paraId="7329F533" w14:textId="2086AAED" w:rsidR="003E4C65" w:rsidRDefault="003E4C65" w:rsidP="003E4C65">
      <w:pPr>
        <w:pStyle w:val="Text"/>
        <w:rPr>
          <w:rFonts w:ascii="Calibri" w:hAnsi="Calibri"/>
        </w:rPr>
      </w:pPr>
      <w:r w:rsidRPr="009D3930">
        <w:rPr>
          <w:rFonts w:ascii="Calibri" w:hAnsi="Calibri"/>
          <w:color w:val="0070C0"/>
        </w:rPr>
        <w:t>Fig</w:t>
      </w:r>
      <w:r w:rsidR="00A125F3" w:rsidRPr="009D3930">
        <w:rPr>
          <w:rFonts w:ascii="Calibri" w:hAnsi="Calibri"/>
          <w:color w:val="0070C0"/>
        </w:rPr>
        <w:t>.</w:t>
      </w:r>
      <w:r w:rsidRPr="009D3930">
        <w:rPr>
          <w:rFonts w:ascii="Calibri" w:hAnsi="Calibri"/>
          <w:color w:val="0070C0"/>
        </w:rPr>
        <w:t>5</w:t>
      </w:r>
      <w:r w:rsidRPr="003E4C65">
        <w:rPr>
          <w:rFonts w:ascii="Calibri" w:hAnsi="Calibri"/>
        </w:rPr>
        <w:t xml:space="preserve"> visualizes synchronized RSI–MACD signals, confirming their complementary predictive power in momentum trading.</w:t>
      </w:r>
    </w:p>
    <w:p w14:paraId="2DE634AB" w14:textId="77777777" w:rsidR="003E4C65" w:rsidRDefault="003E4C65" w:rsidP="003E4C65">
      <w:pPr>
        <w:pStyle w:val="Text"/>
        <w:rPr>
          <w:rFonts w:ascii="Calibri" w:hAnsi="Calibri"/>
        </w:rPr>
        <w:sectPr w:rsidR="003E4C65" w:rsidSect="00C9667F">
          <w:type w:val="continuous"/>
          <w:pgSz w:w="11907" w:h="16839" w:code="9"/>
          <w:pgMar w:top="1008" w:right="936" w:bottom="1008" w:left="936" w:header="187" w:footer="216" w:gutter="0"/>
          <w:cols w:num="2" w:space="288"/>
        </w:sectPr>
      </w:pPr>
    </w:p>
    <w:p w14:paraId="7AEA40F9" w14:textId="77777777" w:rsidR="003E4C65" w:rsidRDefault="003E4C65" w:rsidP="003E4C65">
      <w:pPr>
        <w:pStyle w:val="Text"/>
        <w:rPr>
          <w:rFonts w:ascii="Calibri" w:hAnsi="Calibri"/>
        </w:rPr>
      </w:pPr>
    </w:p>
    <w:p w14:paraId="6A23ACA2" w14:textId="2A797C7C" w:rsidR="003E4C65" w:rsidRDefault="003E4C65" w:rsidP="003E4C65">
      <w:pPr>
        <w:pStyle w:val="Text"/>
        <w:jc w:val="center"/>
        <w:rPr>
          <w:rFonts w:ascii="Calibri" w:hAnsi="Calibri"/>
        </w:rPr>
      </w:pPr>
      <w:r w:rsidRPr="004C58BD">
        <w:rPr>
          <w:noProof/>
        </w:rPr>
        <w:drawing>
          <wp:inline distT="0" distB="0" distL="0" distR="0" wp14:anchorId="32BD1075" wp14:editId="489F5477">
            <wp:extent cx="3802380" cy="2933956"/>
            <wp:effectExtent l="0" t="0" r="7620" b="0"/>
            <wp:docPr id="3074" name="Picture 2" descr="A graph of stock market data&#10;&#10;AI-generated content may be incorrect.">
              <a:extLst xmlns:a="http://schemas.openxmlformats.org/drawingml/2006/main">
                <a:ext uri="{FF2B5EF4-FFF2-40B4-BE49-F238E27FC236}">
                  <a16:creationId xmlns:a16="http://schemas.microsoft.com/office/drawing/2014/main" id="{E1DD4FB5-3459-F98E-34E8-8486418FDD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A graph of stock market data&#10;&#10;AI-generated content may be incorrect.">
                      <a:extLst>
                        <a:ext uri="{FF2B5EF4-FFF2-40B4-BE49-F238E27FC236}">
                          <a16:creationId xmlns:a16="http://schemas.microsoft.com/office/drawing/2014/main" id="{E1DD4FB5-3459-F98E-34E8-8486418FDDC3}"/>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1181" cy="2948463"/>
                    </a:xfrm>
                    <a:prstGeom prst="rect">
                      <a:avLst/>
                    </a:prstGeom>
                    <a:noFill/>
                  </pic:spPr>
                </pic:pic>
              </a:graphicData>
            </a:graphic>
          </wp:inline>
        </w:drawing>
      </w:r>
    </w:p>
    <w:p w14:paraId="166E3AF7" w14:textId="77777777" w:rsidR="003E4C65" w:rsidRDefault="003E4C65" w:rsidP="00EC00F7">
      <w:pPr>
        <w:pStyle w:val="Text"/>
        <w:spacing w:after="60"/>
        <w:ind w:firstLine="204"/>
        <w:jc w:val="center"/>
      </w:pPr>
      <w:r w:rsidRPr="00F03142">
        <w:rPr>
          <w:rFonts w:ascii="Calibri" w:hAnsi="Calibri"/>
        </w:rPr>
        <w:t>Fig.</w:t>
      </w:r>
      <w:r>
        <w:rPr>
          <w:rFonts w:ascii="Calibri" w:hAnsi="Calibri"/>
        </w:rPr>
        <w:t xml:space="preserve">5 </w:t>
      </w:r>
      <w:r w:rsidRPr="004C58BD">
        <w:t>Resistance lines and breakout points over the time series.</w:t>
      </w:r>
    </w:p>
    <w:p w14:paraId="737F533E" w14:textId="17B90C0F" w:rsidR="0063433C" w:rsidRPr="003E4C65" w:rsidRDefault="0063433C" w:rsidP="003E4C65">
      <w:pPr>
        <w:pStyle w:val="Text"/>
        <w:ind w:firstLine="0"/>
        <w:jc w:val="left"/>
        <w:rPr>
          <w:rFonts w:ascii="Calibri" w:hAnsi="Calibri"/>
          <w:b/>
          <w:bCs/>
        </w:rPr>
        <w:sectPr w:rsidR="0063433C" w:rsidRPr="003E4C65" w:rsidSect="003E4C65">
          <w:type w:val="continuous"/>
          <w:pgSz w:w="11907" w:h="16839" w:code="9"/>
          <w:pgMar w:top="1008" w:right="936" w:bottom="1008" w:left="936" w:header="187" w:footer="216" w:gutter="0"/>
          <w:cols w:space="288"/>
        </w:sectPr>
      </w:pPr>
    </w:p>
    <w:p w14:paraId="52B921BF" w14:textId="5C34F456" w:rsidR="0063433C" w:rsidRDefault="0063433C" w:rsidP="00784EBC">
      <w:pPr>
        <w:spacing w:before="240" w:after="120"/>
        <w:jc w:val="center"/>
        <w:rPr>
          <w:rFonts w:ascii="Calibri" w:hAnsi="Calibri"/>
        </w:rPr>
      </w:pPr>
      <w:r w:rsidRPr="00383604">
        <w:rPr>
          <w:rFonts w:ascii="Calibri" w:hAnsi="Calibri"/>
          <w:b/>
          <w:bCs/>
        </w:rPr>
        <w:t>Table III:</w:t>
      </w:r>
      <w:r>
        <w:rPr>
          <w:rFonts w:ascii="Calibri" w:hAnsi="Calibri"/>
        </w:rPr>
        <w:t xml:space="preserve"> </w:t>
      </w:r>
      <w:r w:rsidRPr="0063433C">
        <w:rPr>
          <w:rFonts w:ascii="Calibri" w:hAnsi="Calibri"/>
        </w:rPr>
        <w:t>Summary of Key Findings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155"/>
        <w:gridCol w:w="1172"/>
        <w:gridCol w:w="1784"/>
        <w:gridCol w:w="762"/>
      </w:tblGrid>
      <w:tr w:rsidR="0063433C" w14:paraId="03884921" w14:textId="77777777" w:rsidTr="0064338A">
        <w:tc>
          <w:tcPr>
            <w:tcW w:w="1155" w:type="dxa"/>
            <w:vAlign w:val="center"/>
          </w:tcPr>
          <w:p w14:paraId="6484BDEC" w14:textId="2E41BC32" w:rsidR="0063433C" w:rsidRDefault="0063433C" w:rsidP="009C09FD">
            <w:pPr>
              <w:spacing w:before="60" w:after="60"/>
              <w:rPr>
                <w:rFonts w:ascii="Calibri" w:hAnsi="Calibri"/>
              </w:rPr>
            </w:pPr>
            <w:r w:rsidRPr="0063433C">
              <w:rPr>
                <w:rFonts w:ascii="Calibri" w:hAnsi="Calibri"/>
              </w:rPr>
              <w:t>Analysis Type</w:t>
            </w:r>
            <w:r w:rsidRPr="0063433C">
              <w:rPr>
                <w:rFonts w:ascii="Calibri" w:hAnsi="Calibri"/>
              </w:rPr>
              <w:tab/>
            </w:r>
          </w:p>
        </w:tc>
        <w:tc>
          <w:tcPr>
            <w:tcW w:w="1172" w:type="dxa"/>
            <w:vAlign w:val="center"/>
          </w:tcPr>
          <w:p w14:paraId="5376E777" w14:textId="79AF49DA" w:rsidR="0063433C" w:rsidRDefault="0063433C" w:rsidP="009C09FD">
            <w:pPr>
              <w:spacing w:before="60" w:after="60"/>
              <w:rPr>
                <w:rFonts w:ascii="Calibri" w:hAnsi="Calibri"/>
              </w:rPr>
            </w:pPr>
            <w:r w:rsidRPr="0063433C">
              <w:rPr>
                <w:rFonts w:ascii="Calibri" w:hAnsi="Calibri"/>
              </w:rPr>
              <w:t>Model</w:t>
            </w:r>
            <w:r w:rsidRPr="0063433C">
              <w:rPr>
                <w:rFonts w:ascii="Calibri" w:hAnsi="Calibri"/>
              </w:rPr>
              <w:tab/>
            </w:r>
          </w:p>
        </w:tc>
        <w:tc>
          <w:tcPr>
            <w:tcW w:w="1784" w:type="dxa"/>
            <w:vAlign w:val="center"/>
          </w:tcPr>
          <w:p w14:paraId="139AAD2E" w14:textId="0CE6568F" w:rsidR="0063433C" w:rsidRDefault="0063433C" w:rsidP="009C09FD">
            <w:pPr>
              <w:spacing w:before="60" w:after="60"/>
              <w:rPr>
                <w:rFonts w:ascii="Calibri" w:hAnsi="Calibri"/>
              </w:rPr>
            </w:pPr>
            <w:r w:rsidRPr="0063433C">
              <w:rPr>
                <w:rFonts w:ascii="Calibri" w:hAnsi="Calibri"/>
              </w:rPr>
              <w:t>Key Finding</w:t>
            </w:r>
          </w:p>
        </w:tc>
        <w:tc>
          <w:tcPr>
            <w:tcW w:w="762" w:type="dxa"/>
            <w:vAlign w:val="center"/>
          </w:tcPr>
          <w:p w14:paraId="2FF2753C" w14:textId="627DBDC7" w:rsidR="0063433C" w:rsidRDefault="0063433C" w:rsidP="00B423CC">
            <w:pPr>
              <w:spacing w:before="60" w:after="60"/>
              <w:ind w:left="-80"/>
              <w:rPr>
                <w:rFonts w:ascii="Calibri" w:hAnsi="Calibri"/>
              </w:rPr>
            </w:pPr>
            <w:r w:rsidRPr="0063433C">
              <w:rPr>
                <w:rFonts w:ascii="Calibri" w:hAnsi="Calibri"/>
              </w:rPr>
              <w:t>Figure</w:t>
            </w:r>
          </w:p>
        </w:tc>
      </w:tr>
      <w:tr w:rsidR="0063433C" w14:paraId="5ACA7E38" w14:textId="77777777" w:rsidTr="0064338A">
        <w:tc>
          <w:tcPr>
            <w:tcW w:w="1155" w:type="dxa"/>
            <w:vAlign w:val="center"/>
          </w:tcPr>
          <w:p w14:paraId="1E6A31A9" w14:textId="611F5A7D" w:rsidR="0063433C" w:rsidRDefault="0063433C" w:rsidP="009C09FD">
            <w:pPr>
              <w:spacing w:before="60" w:after="60"/>
              <w:rPr>
                <w:rFonts w:ascii="Calibri" w:hAnsi="Calibri"/>
              </w:rPr>
            </w:pPr>
            <w:r w:rsidRPr="0063433C">
              <w:rPr>
                <w:rFonts w:ascii="Calibri" w:hAnsi="Calibri"/>
              </w:rPr>
              <w:t>Sector Rotation</w:t>
            </w:r>
          </w:p>
        </w:tc>
        <w:tc>
          <w:tcPr>
            <w:tcW w:w="1172" w:type="dxa"/>
            <w:vAlign w:val="center"/>
          </w:tcPr>
          <w:p w14:paraId="6AFFDC7C" w14:textId="28F1E95A" w:rsidR="0063433C" w:rsidRDefault="0063433C" w:rsidP="009C09FD">
            <w:pPr>
              <w:spacing w:before="60" w:after="60"/>
              <w:rPr>
                <w:rFonts w:ascii="Calibri" w:hAnsi="Calibri"/>
              </w:rPr>
            </w:pPr>
            <w:r w:rsidRPr="0063433C">
              <w:rPr>
                <w:rFonts w:ascii="Calibri" w:hAnsi="Calibri"/>
              </w:rPr>
              <w:t>Cross-Correlation</w:t>
            </w:r>
          </w:p>
        </w:tc>
        <w:tc>
          <w:tcPr>
            <w:tcW w:w="1784" w:type="dxa"/>
            <w:vAlign w:val="center"/>
          </w:tcPr>
          <w:p w14:paraId="74BA74CF" w14:textId="31582C05" w:rsidR="0063433C" w:rsidRDefault="0063433C" w:rsidP="009C09FD">
            <w:pPr>
              <w:spacing w:before="60" w:after="60"/>
              <w:rPr>
                <w:rFonts w:ascii="Calibri" w:hAnsi="Calibri"/>
              </w:rPr>
            </w:pPr>
            <w:r w:rsidRPr="0063433C">
              <w:rPr>
                <w:rFonts w:ascii="Calibri" w:hAnsi="Calibri"/>
              </w:rPr>
              <w:t>Banking leads market by 2-3 days</w:t>
            </w:r>
          </w:p>
        </w:tc>
        <w:tc>
          <w:tcPr>
            <w:tcW w:w="762" w:type="dxa"/>
            <w:vAlign w:val="center"/>
          </w:tcPr>
          <w:p w14:paraId="30201B77" w14:textId="0825CBD8" w:rsidR="0063433C" w:rsidRPr="009D3930" w:rsidRDefault="0063433C" w:rsidP="00B423CC">
            <w:pPr>
              <w:spacing w:before="60" w:after="60"/>
              <w:ind w:left="-80"/>
              <w:rPr>
                <w:rFonts w:ascii="Calibri" w:hAnsi="Calibri"/>
                <w:color w:val="0070C0"/>
              </w:rPr>
            </w:pPr>
            <w:r w:rsidRPr="009D3930">
              <w:rPr>
                <w:rFonts w:ascii="Calibri" w:hAnsi="Calibri"/>
                <w:color w:val="0070C0"/>
              </w:rPr>
              <w:t>Fig. 1</w:t>
            </w:r>
          </w:p>
        </w:tc>
      </w:tr>
      <w:tr w:rsidR="0063433C" w14:paraId="7270697B" w14:textId="77777777" w:rsidTr="0064338A">
        <w:tc>
          <w:tcPr>
            <w:tcW w:w="1155" w:type="dxa"/>
            <w:vAlign w:val="center"/>
          </w:tcPr>
          <w:p w14:paraId="255909F4" w14:textId="626FCB0F" w:rsidR="0063433C" w:rsidRDefault="0063433C" w:rsidP="009C09FD">
            <w:pPr>
              <w:spacing w:before="60" w:after="60"/>
              <w:rPr>
                <w:rFonts w:ascii="Calibri" w:hAnsi="Calibri"/>
              </w:rPr>
            </w:pPr>
            <w:r w:rsidRPr="0063433C">
              <w:rPr>
                <w:rFonts w:ascii="Calibri" w:hAnsi="Calibri"/>
              </w:rPr>
              <w:t>Foreign Flow</w:t>
            </w:r>
          </w:p>
        </w:tc>
        <w:tc>
          <w:tcPr>
            <w:tcW w:w="1172" w:type="dxa"/>
            <w:vAlign w:val="center"/>
          </w:tcPr>
          <w:p w14:paraId="63DFA6C9" w14:textId="01F6E5DE" w:rsidR="0063433C" w:rsidRDefault="0063433C" w:rsidP="009C09FD">
            <w:pPr>
              <w:spacing w:before="60" w:after="60"/>
              <w:rPr>
                <w:rFonts w:ascii="Calibri" w:hAnsi="Calibri"/>
              </w:rPr>
            </w:pPr>
            <w:r w:rsidRPr="0063433C">
              <w:rPr>
                <w:rFonts w:ascii="Calibri" w:hAnsi="Calibri"/>
              </w:rPr>
              <w:t>VAR</w:t>
            </w:r>
          </w:p>
        </w:tc>
        <w:tc>
          <w:tcPr>
            <w:tcW w:w="1784" w:type="dxa"/>
            <w:vAlign w:val="center"/>
          </w:tcPr>
          <w:p w14:paraId="160E625C" w14:textId="5F321C48" w:rsidR="0063433C" w:rsidRDefault="0063433C" w:rsidP="009C09FD">
            <w:pPr>
              <w:spacing w:before="60" w:after="60"/>
              <w:rPr>
                <w:rFonts w:ascii="Calibri" w:hAnsi="Calibri"/>
              </w:rPr>
            </w:pPr>
            <w:r w:rsidRPr="0063433C">
              <w:rPr>
                <w:rFonts w:ascii="Calibri" w:hAnsi="Calibri"/>
              </w:rPr>
              <w:t>Foreign net buying raises VN-Index by 0.4% (lag 1)</w:t>
            </w:r>
          </w:p>
        </w:tc>
        <w:tc>
          <w:tcPr>
            <w:tcW w:w="762" w:type="dxa"/>
            <w:vAlign w:val="center"/>
          </w:tcPr>
          <w:p w14:paraId="40E02822" w14:textId="69225863" w:rsidR="0063433C" w:rsidRPr="009D3930" w:rsidRDefault="0063433C" w:rsidP="00B423CC">
            <w:pPr>
              <w:spacing w:before="60" w:after="60"/>
              <w:ind w:left="-80"/>
              <w:rPr>
                <w:rFonts w:ascii="Calibri" w:hAnsi="Calibri"/>
                <w:color w:val="0070C0"/>
              </w:rPr>
            </w:pPr>
            <w:r w:rsidRPr="009D3930">
              <w:rPr>
                <w:rFonts w:ascii="Calibri" w:hAnsi="Calibri"/>
                <w:color w:val="0070C0"/>
              </w:rPr>
              <w:t>Table 2</w:t>
            </w:r>
          </w:p>
        </w:tc>
      </w:tr>
      <w:tr w:rsidR="0063433C" w14:paraId="59BF186F" w14:textId="77777777" w:rsidTr="0064338A">
        <w:tc>
          <w:tcPr>
            <w:tcW w:w="1155" w:type="dxa"/>
            <w:vAlign w:val="center"/>
          </w:tcPr>
          <w:p w14:paraId="5D8B7850" w14:textId="4B485198" w:rsidR="0063433C" w:rsidRDefault="0063433C" w:rsidP="009C09FD">
            <w:pPr>
              <w:spacing w:before="60" w:after="60"/>
              <w:rPr>
                <w:rFonts w:ascii="Calibri" w:hAnsi="Calibri"/>
              </w:rPr>
            </w:pPr>
            <w:r w:rsidRPr="0063433C">
              <w:rPr>
                <w:rFonts w:ascii="Calibri" w:hAnsi="Calibri"/>
              </w:rPr>
              <w:t>Volatility</w:t>
            </w:r>
          </w:p>
        </w:tc>
        <w:tc>
          <w:tcPr>
            <w:tcW w:w="1172" w:type="dxa"/>
            <w:vAlign w:val="center"/>
          </w:tcPr>
          <w:p w14:paraId="4A936CCE" w14:textId="49FC7551" w:rsidR="0063433C" w:rsidRDefault="0063433C" w:rsidP="009C09FD">
            <w:pPr>
              <w:spacing w:before="60" w:after="60"/>
              <w:rPr>
                <w:rFonts w:ascii="Calibri" w:hAnsi="Calibri"/>
              </w:rPr>
            </w:pPr>
            <w:r w:rsidRPr="0063433C">
              <w:rPr>
                <w:rFonts w:ascii="Calibri" w:hAnsi="Calibri"/>
              </w:rPr>
              <w:t>GARCH(1,1)</w:t>
            </w:r>
          </w:p>
        </w:tc>
        <w:tc>
          <w:tcPr>
            <w:tcW w:w="1784" w:type="dxa"/>
            <w:vAlign w:val="center"/>
          </w:tcPr>
          <w:p w14:paraId="14C1E937" w14:textId="2B165517" w:rsidR="0063433C" w:rsidRDefault="0063433C" w:rsidP="009C09FD">
            <w:pPr>
              <w:spacing w:before="60" w:after="60"/>
              <w:rPr>
                <w:rFonts w:ascii="Calibri" w:hAnsi="Calibri"/>
              </w:rPr>
            </w:pPr>
            <w:r w:rsidRPr="0063433C">
              <w:rPr>
                <w:rFonts w:ascii="Calibri" w:hAnsi="Calibri"/>
              </w:rPr>
              <w:t>High clustering during 2020 &amp; 2023 crises</w:t>
            </w:r>
          </w:p>
        </w:tc>
        <w:tc>
          <w:tcPr>
            <w:tcW w:w="762" w:type="dxa"/>
            <w:vAlign w:val="center"/>
          </w:tcPr>
          <w:p w14:paraId="6E1C964E" w14:textId="374CAF9C" w:rsidR="0063433C" w:rsidRPr="009D3930" w:rsidRDefault="0063433C" w:rsidP="00B423CC">
            <w:pPr>
              <w:spacing w:before="60" w:after="60"/>
              <w:ind w:left="-80"/>
              <w:rPr>
                <w:rFonts w:ascii="Calibri" w:hAnsi="Calibri"/>
                <w:color w:val="0070C0"/>
              </w:rPr>
            </w:pPr>
            <w:r w:rsidRPr="009D3930">
              <w:rPr>
                <w:rFonts w:ascii="Calibri" w:hAnsi="Calibri"/>
                <w:color w:val="0070C0"/>
              </w:rPr>
              <w:t>Fig. 4</w:t>
            </w:r>
          </w:p>
        </w:tc>
      </w:tr>
      <w:tr w:rsidR="0063433C" w14:paraId="177C495D" w14:textId="77777777" w:rsidTr="0064338A">
        <w:tc>
          <w:tcPr>
            <w:tcW w:w="1155" w:type="dxa"/>
            <w:vAlign w:val="center"/>
          </w:tcPr>
          <w:p w14:paraId="13193BF5" w14:textId="23E5EE53" w:rsidR="0063433C" w:rsidRDefault="0063433C" w:rsidP="009C09FD">
            <w:pPr>
              <w:spacing w:before="60" w:after="60"/>
              <w:rPr>
                <w:rFonts w:ascii="Calibri" w:hAnsi="Calibri"/>
              </w:rPr>
            </w:pPr>
            <w:r w:rsidRPr="0063433C">
              <w:rPr>
                <w:rFonts w:ascii="Calibri" w:hAnsi="Calibri"/>
              </w:rPr>
              <w:t>Technical Forecasting</w:t>
            </w:r>
          </w:p>
        </w:tc>
        <w:tc>
          <w:tcPr>
            <w:tcW w:w="1172" w:type="dxa"/>
            <w:vAlign w:val="center"/>
          </w:tcPr>
          <w:p w14:paraId="4A1DF37B" w14:textId="261B2BD7" w:rsidR="0063433C" w:rsidRDefault="0063433C" w:rsidP="009C09FD">
            <w:pPr>
              <w:spacing w:before="60" w:after="60"/>
              <w:rPr>
                <w:rFonts w:ascii="Calibri" w:hAnsi="Calibri"/>
              </w:rPr>
            </w:pPr>
            <w:r w:rsidRPr="0063433C">
              <w:rPr>
                <w:rFonts w:ascii="Calibri" w:hAnsi="Calibri"/>
              </w:rPr>
              <w:t>RSI, MACD</w:t>
            </w:r>
          </w:p>
        </w:tc>
        <w:tc>
          <w:tcPr>
            <w:tcW w:w="1784" w:type="dxa"/>
            <w:vAlign w:val="center"/>
          </w:tcPr>
          <w:p w14:paraId="7A12887A" w14:textId="588C24CC" w:rsidR="0063433C" w:rsidRDefault="0063433C" w:rsidP="009C09FD">
            <w:pPr>
              <w:spacing w:before="60" w:after="60"/>
              <w:rPr>
                <w:rFonts w:ascii="Calibri" w:hAnsi="Calibri"/>
              </w:rPr>
            </w:pPr>
            <w:r w:rsidRPr="0063433C">
              <w:rPr>
                <w:rFonts w:ascii="Calibri" w:hAnsi="Calibri"/>
              </w:rPr>
              <w:t>75-80% trend prediction accuracy</w:t>
            </w:r>
          </w:p>
        </w:tc>
        <w:tc>
          <w:tcPr>
            <w:tcW w:w="762" w:type="dxa"/>
            <w:vAlign w:val="center"/>
          </w:tcPr>
          <w:p w14:paraId="340AA582" w14:textId="71FC2DB1" w:rsidR="0063433C" w:rsidRPr="009D3930" w:rsidRDefault="0063433C" w:rsidP="00B423CC">
            <w:pPr>
              <w:spacing w:before="60" w:after="60"/>
              <w:ind w:left="-80"/>
              <w:rPr>
                <w:rFonts w:ascii="Calibri" w:hAnsi="Calibri"/>
                <w:color w:val="0070C0"/>
              </w:rPr>
            </w:pPr>
            <w:r w:rsidRPr="009D3930">
              <w:rPr>
                <w:rFonts w:ascii="Calibri" w:hAnsi="Calibri"/>
                <w:color w:val="0070C0"/>
              </w:rPr>
              <w:t>Fig. 5</w:t>
            </w:r>
          </w:p>
        </w:tc>
      </w:tr>
    </w:tbl>
    <w:p w14:paraId="2335A1AC" w14:textId="7276CD91" w:rsidR="001C5E06" w:rsidRPr="00CB654C" w:rsidRDefault="007D3437">
      <w:pPr>
        <w:pStyle w:val="Heading1"/>
        <w:rPr>
          <w:rFonts w:ascii="Calibri" w:hAnsi="Calibri"/>
        </w:rPr>
      </w:pPr>
      <w:r w:rsidRPr="007D3437">
        <w:rPr>
          <w:rFonts w:ascii="Calibri" w:hAnsi="Calibri"/>
        </w:rPr>
        <w:t>Discussion and Results</w:t>
      </w:r>
    </w:p>
    <w:p w14:paraId="6745BD49" w14:textId="5560ABAD" w:rsidR="00F63D24" w:rsidRDefault="00F63D24" w:rsidP="00F63D24">
      <w:pPr>
        <w:pStyle w:val="Text"/>
        <w:rPr>
          <w:rFonts w:ascii="Calibri" w:hAnsi="Calibri"/>
        </w:rPr>
      </w:pPr>
      <w:r w:rsidRPr="00F63D24">
        <w:rPr>
          <w:rFonts w:ascii="Calibri" w:hAnsi="Calibri"/>
        </w:rPr>
        <w:t>This section interprets the experimental outcomes of the four major analytical problems. Results were obtained using Python and validated through train-test back</w:t>
      </w:r>
      <w:r w:rsidR="00EF1063">
        <w:rPr>
          <w:rFonts w:ascii="Calibri" w:hAnsi="Calibri"/>
        </w:rPr>
        <w:t>-</w:t>
      </w:r>
      <w:r w:rsidRPr="00F63D24">
        <w:rPr>
          <w:rFonts w:ascii="Calibri" w:hAnsi="Calibri"/>
        </w:rPr>
        <w:t>testing over HOSE data from 2020 to 2025</w:t>
      </w:r>
      <w:r>
        <w:rPr>
          <w:rFonts w:ascii="Calibri" w:hAnsi="Calibri"/>
        </w:rPr>
        <w:t>.</w:t>
      </w:r>
    </w:p>
    <w:p w14:paraId="666FBF5C" w14:textId="680D0B47" w:rsidR="00F63D24" w:rsidRPr="0064000C" w:rsidRDefault="00F63D24" w:rsidP="0064000C">
      <w:pPr>
        <w:pStyle w:val="Text"/>
        <w:spacing w:before="120" w:after="60"/>
        <w:ind w:firstLine="204"/>
        <w:outlineLvl w:val="1"/>
        <w:rPr>
          <w:rFonts w:ascii="Calibri" w:hAnsi="Calibri"/>
          <w:i/>
          <w:iCs/>
        </w:rPr>
      </w:pPr>
      <w:r w:rsidRPr="0064000C">
        <w:rPr>
          <w:rFonts w:ascii="Calibri" w:hAnsi="Calibri"/>
          <w:i/>
          <w:iCs/>
        </w:rPr>
        <w:t>A.   Sector Rotation and Market Interdependence</w:t>
      </w:r>
    </w:p>
    <w:p w14:paraId="7D18A526" w14:textId="5E79C8AD" w:rsidR="00F63D24" w:rsidRPr="00CB654C" w:rsidRDefault="00EA0620" w:rsidP="00F63D24">
      <w:pPr>
        <w:pStyle w:val="Text"/>
        <w:rPr>
          <w:rFonts w:ascii="Calibri" w:hAnsi="Calibri"/>
        </w:rPr>
      </w:pPr>
      <w:r w:rsidRPr="00EA0620">
        <w:rPr>
          <w:rFonts w:ascii="Calibri" w:hAnsi="Calibri"/>
        </w:rPr>
        <w:t>ross-correlation analysis identifies notable lead-lag relationships among Vietnam's major industry indices.</w:t>
      </w:r>
      <w:r w:rsidR="00D65250" w:rsidRPr="00D65250">
        <w:t xml:space="preserve"> </w:t>
      </w:r>
      <w:r w:rsidR="00D65250" w:rsidRPr="00D65250">
        <w:rPr>
          <w:rFonts w:ascii="Calibri" w:hAnsi="Calibri"/>
        </w:rPr>
        <w:t xml:space="preserve">As illustrated in </w:t>
      </w:r>
      <w:r w:rsidR="002248FB" w:rsidRPr="002248FB">
        <w:rPr>
          <w:rFonts w:ascii="Calibri" w:hAnsi="Calibri"/>
          <w:color w:val="0070C0"/>
        </w:rPr>
        <w:t>Table 2</w:t>
      </w:r>
      <w:r w:rsidR="00D65250" w:rsidRPr="00D65250">
        <w:rPr>
          <w:rFonts w:ascii="Calibri" w:hAnsi="Calibri"/>
        </w:rPr>
        <w:t>,</w:t>
      </w:r>
      <w:r w:rsidRPr="00EA0620">
        <w:rPr>
          <w:rFonts w:ascii="Calibri" w:hAnsi="Calibri"/>
        </w:rPr>
        <w:t xml:space="preserve"> The banking sector exhibits the highest positive correlation with the VN-Index (ρ = 0.78) at a lead of two days (k = +2), indicating it precedes overall market movements. Conversely, the real estate sector shows a delayed response, with a correlation of ρ = 0.65 at a one-day lag (k = -1). This pattern aligns with the established global sector rotation mechanism, wherein financials typically initiate expansionary cycles. Consequently, these results indicate a measurable cyclical transmission effect within Vietnam's equity market, suggesting that such inter-sectoral </w:t>
      </w:r>
      <w:r w:rsidRPr="00EA0620">
        <w:rPr>
          <w:rFonts w:ascii="Calibri" w:hAnsi="Calibri"/>
        </w:rPr>
        <w:t>dynamics can be leveraged for short-term portfolio rebalancing and tactical asset allocation strategies</w:t>
      </w:r>
      <w:r w:rsidR="00F63D24">
        <w:rPr>
          <w:rFonts w:ascii="Calibri" w:hAnsi="Calibri"/>
        </w:rPr>
        <w:t>.</w:t>
      </w:r>
    </w:p>
    <w:p w14:paraId="0BFFD730" w14:textId="597D8857" w:rsidR="001C5E06" w:rsidRPr="0064000C" w:rsidRDefault="00F63D24" w:rsidP="0064000C">
      <w:pPr>
        <w:pStyle w:val="Text"/>
        <w:spacing w:before="120" w:after="60"/>
        <w:ind w:firstLine="204"/>
        <w:outlineLvl w:val="1"/>
        <w:rPr>
          <w:rFonts w:ascii="Calibri" w:hAnsi="Calibri"/>
          <w:i/>
          <w:iCs/>
        </w:rPr>
      </w:pPr>
      <w:r w:rsidRPr="0064000C">
        <w:rPr>
          <w:rFonts w:ascii="Calibri" w:hAnsi="Calibri"/>
          <w:i/>
          <w:iCs/>
        </w:rPr>
        <w:t>B.   The Role of Foreign Capital Flows (VAR Analysis)</w:t>
      </w:r>
    </w:p>
    <w:p w14:paraId="35293AD6" w14:textId="59E2B0E4" w:rsidR="00F63D24" w:rsidRDefault="00F63D24" w:rsidP="00F63D24">
      <w:pPr>
        <w:pStyle w:val="Text"/>
        <w:rPr>
          <w:rFonts w:ascii="Calibri" w:hAnsi="Calibri"/>
        </w:rPr>
      </w:pPr>
      <w:r w:rsidRPr="00F63D24">
        <w:rPr>
          <w:rFonts w:ascii="Calibri" w:hAnsi="Calibri"/>
        </w:rPr>
        <w:t>The VAR(2) model was applied to daily returns and net foreign trading volume.</w:t>
      </w:r>
      <w:r>
        <w:rPr>
          <w:rFonts w:ascii="Calibri" w:hAnsi="Calibri"/>
        </w:rPr>
        <w:t xml:space="preserve"> </w:t>
      </w:r>
      <w:r w:rsidRPr="00F63D24">
        <w:rPr>
          <w:rFonts w:ascii="Calibri" w:hAnsi="Calibri"/>
        </w:rPr>
        <w:t>The estimated equation</w:t>
      </w:r>
      <w:r>
        <w:rPr>
          <w:rFonts w:ascii="Calibri" w:hAnsi="Calibri"/>
        </w:rPr>
        <w:t>:</w:t>
      </w:r>
    </w:p>
    <w:p w14:paraId="350132D2" w14:textId="267F1DAC" w:rsidR="00F63D24" w:rsidRPr="00F63D24" w:rsidRDefault="00000000" w:rsidP="00F63D24">
      <w:pPr>
        <w:pStyle w:val="Text"/>
        <w:rPr>
          <w:rFonts w:ascii="Calibri" w:hAnsi="Calibri"/>
        </w:rPr>
      </w:pPr>
      <m:oMathPara>
        <m:oMath>
          <m:eqArr>
            <m:eqArrPr>
              <m:maxDist m:val="1"/>
              <m:ctrlPr>
                <w:rPr>
                  <w:rFonts w:ascii="Cambria Math" w:hAnsi="Cambria Math"/>
                  <w:i/>
                </w:rPr>
              </m:ctrlPr>
            </m:eqArr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t</m:t>
                          </m:r>
                        </m:sub>
                      </m:sSub>
                    </m:num>
                    <m:den>
                      <m:sSub>
                        <m:sSubPr>
                          <m:ctrlPr>
                            <w:rPr>
                              <w:rFonts w:ascii="Cambria Math" w:hAnsi="Cambria Math"/>
                            </w:rPr>
                          </m:ctrlPr>
                        </m:sSubPr>
                        <m:e>
                          <m:r>
                            <w:rPr>
                              <w:rFonts w:ascii="Cambria Math" w:hAnsi="Cambria Math"/>
                            </w:rPr>
                            <m:t>F</m:t>
                          </m:r>
                        </m:e>
                        <m:sub>
                          <m:r>
                            <w:rPr>
                              <w:rFonts w:ascii="Cambria Math" w:hAnsi="Cambria Math"/>
                            </w:rPr>
                            <m:t>t</m:t>
                          </m:r>
                        </m:sub>
                      </m:sSub>
                    </m:den>
                  </m:f>
                </m:e>
              </m:d>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c</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c</m:t>
                          </m:r>
                        </m:e>
                        <m:sub>
                          <m:r>
                            <m:rPr>
                              <m:sty m:val="p"/>
                            </m:rPr>
                            <w:rPr>
                              <w:rFonts w:ascii="Cambria Math" w:hAnsi="Cambria Math"/>
                            </w:rPr>
                            <m:t>2</m:t>
                          </m:r>
                        </m:sub>
                      </m:sSub>
                    </m:den>
                  </m:f>
                </m:e>
              </m:d>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t</m:t>
                          </m:r>
                          <m:r>
                            <m:rPr>
                              <m:sty m:val="p"/>
                            </m:rPr>
                            <w:rPr>
                              <w:rFonts w:ascii="Cambria Math" w:hAnsi="Cambria Math"/>
                            </w:rPr>
                            <m:t>-1</m:t>
                          </m:r>
                        </m:sub>
                      </m:sSub>
                    </m:num>
                    <m:den>
                      <m:sSub>
                        <m:sSubPr>
                          <m:ctrlPr>
                            <w:rPr>
                              <w:rFonts w:ascii="Cambria Math" w:hAnsi="Cambria Math"/>
                            </w:rPr>
                          </m:ctrlPr>
                        </m:sSubPr>
                        <m:e>
                          <m:r>
                            <w:rPr>
                              <w:rFonts w:ascii="Cambria Math" w:hAnsi="Cambria Math"/>
                            </w:rPr>
                            <m:t>F</m:t>
                          </m:r>
                        </m:e>
                        <m:sub>
                          <m:r>
                            <w:rPr>
                              <w:rFonts w:ascii="Cambria Math" w:hAnsi="Cambria Math"/>
                            </w:rPr>
                            <m:t>t</m:t>
                          </m:r>
                          <m:r>
                            <m:rPr>
                              <m:sty m:val="p"/>
                            </m:rPr>
                            <w:rPr>
                              <w:rFonts w:ascii="Cambria Math" w:hAnsi="Cambria Math"/>
                            </w:rPr>
                            <m:t>-1</m:t>
                          </m:r>
                        </m:sub>
                      </m:sSub>
                    </m:den>
                  </m:f>
                </m:e>
              </m:d>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t</m:t>
                          </m:r>
                          <m:r>
                            <m:rPr>
                              <m:sty m:val="p"/>
                            </m:rPr>
                            <w:rPr>
                              <w:rFonts w:ascii="Cambria Math" w:hAnsi="Cambria Math"/>
                            </w:rPr>
                            <m:t>-2</m:t>
                          </m:r>
                        </m:sub>
                      </m:sSub>
                    </m:num>
                    <m:den>
                      <m:sSub>
                        <m:sSubPr>
                          <m:ctrlPr>
                            <w:rPr>
                              <w:rFonts w:ascii="Cambria Math" w:hAnsi="Cambria Math"/>
                            </w:rPr>
                          </m:ctrlPr>
                        </m:sSubPr>
                        <m:e>
                          <m:r>
                            <w:rPr>
                              <w:rFonts w:ascii="Cambria Math" w:hAnsi="Cambria Math"/>
                            </w:rPr>
                            <m:t>F</m:t>
                          </m:r>
                        </m:e>
                        <m:sub>
                          <m:r>
                            <w:rPr>
                              <w:rFonts w:ascii="Cambria Math" w:hAnsi="Cambria Math"/>
                            </w:rPr>
                            <m:t>t</m:t>
                          </m:r>
                          <m:r>
                            <m:rPr>
                              <m:sty m:val="p"/>
                            </m:rPr>
                            <w:rPr>
                              <w:rFonts w:ascii="Cambria Math" w:hAnsi="Cambria Math"/>
                            </w:rPr>
                            <m:t>-2</m:t>
                          </m:r>
                        </m:sub>
                      </m:sSub>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ε</m:t>
                          </m:r>
                        </m:e>
                        <m:sub>
                          <m:r>
                            <m:rPr>
                              <m:sty m:val="p"/>
                            </m:rPr>
                            <w:rPr>
                              <w:rFonts w:ascii="Cambria Math" w:hAnsi="Cambria Math"/>
                            </w:rPr>
                            <m:t>1</m:t>
                          </m:r>
                          <m:r>
                            <w:rPr>
                              <w:rFonts w:ascii="Cambria Math" w:hAnsi="Cambria Math"/>
                            </w:rPr>
                            <m:t>t</m:t>
                          </m:r>
                        </m:sub>
                      </m:sSub>
                    </m:num>
                    <m:den>
                      <m:sSub>
                        <m:sSubPr>
                          <m:ctrlPr>
                            <w:rPr>
                              <w:rFonts w:ascii="Cambria Math" w:hAnsi="Cambria Math"/>
                            </w:rPr>
                          </m:ctrlPr>
                        </m:sSubPr>
                        <m:e>
                          <m:r>
                            <w:rPr>
                              <w:rFonts w:ascii="Cambria Math" w:hAnsi="Cambria Math"/>
                            </w:rPr>
                            <m:t>ε</m:t>
                          </m:r>
                        </m:e>
                        <m:sub>
                          <m:r>
                            <m:rPr>
                              <m:sty m:val="p"/>
                            </m:rPr>
                            <w:rPr>
                              <w:rFonts w:ascii="Cambria Math" w:hAnsi="Cambria Math"/>
                            </w:rPr>
                            <m:t>2</m:t>
                          </m:r>
                          <m:r>
                            <w:rPr>
                              <w:rFonts w:ascii="Cambria Math" w:hAnsi="Cambria Math"/>
                            </w:rPr>
                            <m:t>t</m:t>
                          </m:r>
                        </m:sub>
                      </m:sSub>
                    </m:den>
                  </m:f>
                </m:e>
              </m:d>
              <m:r>
                <w:rPr>
                  <w:rFonts w:ascii="Cambria Math" w:hAnsi="Cambria Math"/>
                </w:rPr>
                <m:t>#</m:t>
              </m:r>
              <m:d>
                <m:dPr>
                  <m:ctrlPr>
                    <w:rPr>
                      <w:rFonts w:ascii="Cambria Math" w:hAnsi="Cambria Math"/>
                      <w:i/>
                    </w:rPr>
                  </m:ctrlPr>
                </m:dPr>
                <m:e>
                  <m:r>
                    <w:rPr>
                      <w:rFonts w:ascii="Cambria Math" w:hAnsi="Cambria Math"/>
                    </w:rPr>
                    <m:t>20</m:t>
                  </m:r>
                </m:e>
              </m:d>
            </m:e>
          </m:eqArr>
        </m:oMath>
      </m:oMathPara>
    </w:p>
    <w:p w14:paraId="64E3CD7C" w14:textId="77777777" w:rsidR="00F63D24" w:rsidRPr="00F63D24" w:rsidRDefault="00F63D24" w:rsidP="00F63D24">
      <w:pPr>
        <w:pStyle w:val="Text"/>
        <w:rPr>
          <w:rFonts w:ascii="Calibri" w:hAnsi="Calibri"/>
        </w:rPr>
      </w:pPr>
      <w:r w:rsidRPr="00F63D24">
        <w:rPr>
          <w:rFonts w:ascii="Calibri" w:hAnsi="Calibri"/>
        </w:rPr>
        <w:t>The Granger causality test indicates that Ft (foreign flow) Granger-causes Rt with a 95% confidence level (p &lt; 0.05), while the reverse effect is weaker.</w:t>
      </w:r>
    </w:p>
    <w:p w14:paraId="0CF796C0" w14:textId="336E020A" w:rsidR="00F63D24" w:rsidRPr="00F63D24" w:rsidRDefault="00F63D24" w:rsidP="0063433C">
      <w:pPr>
        <w:pStyle w:val="Text"/>
        <w:rPr>
          <w:rFonts w:ascii="Calibri" w:hAnsi="Calibri"/>
        </w:rPr>
      </w:pPr>
      <w:r w:rsidRPr="00F63D24">
        <w:rPr>
          <w:rFonts w:ascii="Calibri" w:hAnsi="Calibri"/>
        </w:rPr>
        <w:t>Impulse response functions (</w:t>
      </w:r>
      <w:r w:rsidR="00762FCA" w:rsidRPr="00762FCA">
        <w:rPr>
          <w:rFonts w:ascii="Calibri" w:hAnsi="Calibri"/>
          <w:color w:val="0070C0"/>
        </w:rPr>
        <w:t>Table II</w:t>
      </w:r>
      <w:r w:rsidRPr="00F63D24">
        <w:rPr>
          <w:rFonts w:ascii="Calibri" w:hAnsi="Calibri"/>
        </w:rPr>
        <w:t>) show that a 1% increase in net foreign buying results in an average 0.4% rise in VN-Index returns after one day, and the effect dissipates after three trading sessions.</w:t>
      </w:r>
      <w:r w:rsidR="0063433C">
        <w:rPr>
          <w:rFonts w:ascii="Calibri" w:hAnsi="Calibri"/>
        </w:rPr>
        <w:t xml:space="preserve"> </w:t>
      </w:r>
      <w:r w:rsidRPr="00F63D24">
        <w:rPr>
          <w:rFonts w:ascii="Calibri" w:hAnsi="Calibri"/>
        </w:rPr>
        <w:t>Variance decomposition reveals that foreign flows explain 22.4% of total market return variance, highlighting their critical role in short-term market sentiment.</w:t>
      </w:r>
    </w:p>
    <w:p w14:paraId="4C89AF1C" w14:textId="44FBF256" w:rsidR="00F63D24" w:rsidRDefault="00F63D24" w:rsidP="00F63D24">
      <w:pPr>
        <w:pStyle w:val="Text"/>
        <w:rPr>
          <w:rFonts w:ascii="Calibri" w:hAnsi="Calibri"/>
        </w:rPr>
      </w:pPr>
      <w:r w:rsidRPr="00F63D24">
        <w:rPr>
          <w:rFonts w:ascii="Calibri" w:hAnsi="Calibri"/>
        </w:rPr>
        <w:t>This finding aligns with prior research [</w:t>
      </w:r>
      <w:r w:rsidR="0063433C">
        <w:rPr>
          <w:rFonts w:ascii="Calibri" w:hAnsi="Calibri"/>
        </w:rPr>
        <w:t>5</w:t>
      </w:r>
      <w:r w:rsidRPr="00F63D24">
        <w:rPr>
          <w:rFonts w:ascii="Calibri" w:hAnsi="Calibri"/>
        </w:rPr>
        <w:t>] confirming that foreign capital acts as a leading indicator in Vietnam’s emerging financial market.</w:t>
      </w:r>
    </w:p>
    <w:p w14:paraId="01E5BCAF" w14:textId="294C0C33" w:rsidR="00F63D24" w:rsidRPr="0064000C" w:rsidRDefault="00F63D24" w:rsidP="0064000C">
      <w:pPr>
        <w:pStyle w:val="Text"/>
        <w:spacing w:before="120" w:after="60"/>
        <w:ind w:firstLine="204"/>
        <w:outlineLvl w:val="1"/>
        <w:rPr>
          <w:rFonts w:ascii="Calibri" w:hAnsi="Calibri"/>
          <w:i/>
          <w:iCs/>
        </w:rPr>
      </w:pPr>
      <w:r w:rsidRPr="0064000C">
        <w:rPr>
          <w:rFonts w:ascii="Calibri" w:hAnsi="Calibri"/>
          <w:i/>
          <w:iCs/>
        </w:rPr>
        <w:t>C.   Volatility Dynamics and Market Risk (GARCH Modeling)</w:t>
      </w:r>
    </w:p>
    <w:p w14:paraId="7FFAAF07" w14:textId="7EF78CDF" w:rsidR="00F63D24" w:rsidRDefault="00F63D24" w:rsidP="00F63D24">
      <w:pPr>
        <w:pStyle w:val="Text"/>
        <w:rPr>
          <w:rFonts w:ascii="Calibri" w:hAnsi="Calibri"/>
        </w:rPr>
      </w:pPr>
      <w:r w:rsidRPr="00F63D24">
        <w:rPr>
          <w:rFonts w:ascii="Calibri" w:hAnsi="Calibri"/>
        </w:rPr>
        <w:t>Volatility behavior was modeled using the GARCH(1,1) framework</w:t>
      </w:r>
      <w:r>
        <w:rPr>
          <w:rFonts w:ascii="Calibri" w:hAnsi="Calibri"/>
        </w:rPr>
        <w:t xml:space="preserve">. </w:t>
      </w:r>
      <w:r w:rsidRPr="00F63D24">
        <w:rPr>
          <w:rFonts w:ascii="Calibri" w:hAnsi="Calibri"/>
        </w:rPr>
        <w:t xml:space="preserve">Estimated </w:t>
      </w:r>
      <w:r w:rsidR="00C75437" w:rsidRPr="00F63D24">
        <w:rPr>
          <w:rFonts w:ascii="Calibri" w:hAnsi="Calibri"/>
        </w:rPr>
        <w:t>coefficients</w:t>
      </w:r>
      <w:r w:rsidRPr="00F63D24">
        <w:rPr>
          <w:rFonts w:ascii="Calibri" w:hAnsi="Calibri"/>
        </w:rPr>
        <w:t xml:space="preserve"> were:</w:t>
      </w:r>
    </w:p>
    <w:p w14:paraId="5DC5B8A7" w14:textId="318462E1" w:rsidR="00F63D24" w:rsidRPr="00F63D24" w:rsidRDefault="00000000" w:rsidP="00F63D24">
      <w:pPr>
        <w:pStyle w:val="Text"/>
        <w:rPr>
          <w:rFonts w:ascii="Calibri" w:hAnsi="Calibri"/>
        </w:rPr>
      </w:pPr>
      <m:oMathPara>
        <m:oMath>
          <m:eqArr>
            <m:eqArrPr>
              <m:maxDist m:val="1"/>
              <m:ctrlPr>
                <w:rPr>
                  <w:rFonts w:ascii="Cambria Math" w:hAnsi="Cambria Math"/>
                  <w:i/>
                </w:rPr>
              </m:ctrlPr>
            </m:eqArrPr>
            <m:e>
              <m:sSub>
                <m:sSubPr>
                  <m:ctrlPr>
                    <w:rPr>
                      <w:rFonts w:ascii="Cambria Math" w:hAnsi="Cambria Math"/>
                      <w:noProof/>
                    </w:rPr>
                  </m:ctrlPr>
                </m:sSubPr>
                <m:e>
                  <m:r>
                    <w:rPr>
                      <w:rFonts w:ascii="Cambria Math" w:hAnsi="Cambria Math"/>
                      <w:noProof/>
                    </w:rPr>
                    <m:t>h</m:t>
                  </m:r>
                </m:e>
                <m:sub>
                  <m:r>
                    <w:rPr>
                      <w:rFonts w:ascii="Cambria Math" w:hAnsi="Cambria Math"/>
                      <w:noProof/>
                    </w:rPr>
                    <m:t>t</m:t>
                  </m:r>
                </m:sub>
              </m:sSub>
              <m:r>
                <m:rPr>
                  <m:sty m:val="p"/>
                </m:rPr>
                <w:rPr>
                  <w:rFonts w:ascii="Cambria Math" w:hAnsi="Cambria Math"/>
                  <w:noProof/>
                </w:rPr>
                <m:t>=</m:t>
              </m:r>
              <m:r>
                <w:rPr>
                  <w:rFonts w:ascii="Cambria Math" w:hAnsi="Cambria Math"/>
                  <w:noProof/>
                </w:rPr>
                <m:t>ω</m:t>
              </m:r>
              <m:r>
                <m:rPr>
                  <m:sty m:val="p"/>
                </m:rPr>
                <w:rPr>
                  <w:rFonts w:ascii="Cambria Math" w:hAnsi="Cambria Math"/>
                  <w:noProof/>
                </w:rPr>
                <m:t>+</m:t>
              </m:r>
              <m:r>
                <w:rPr>
                  <w:rFonts w:ascii="Cambria Math" w:hAnsi="Cambria Math"/>
                  <w:noProof/>
                </w:rPr>
                <m:t>α</m:t>
              </m:r>
              <m:sSubSup>
                <m:sSubSupPr>
                  <m:ctrlPr>
                    <w:rPr>
                      <w:rFonts w:ascii="Cambria Math" w:hAnsi="Cambria Math"/>
                      <w:noProof/>
                    </w:rPr>
                  </m:ctrlPr>
                </m:sSubSupPr>
                <m:e>
                  <m:r>
                    <w:rPr>
                      <w:rFonts w:ascii="Cambria Math" w:hAnsi="Cambria Math"/>
                      <w:noProof/>
                    </w:rPr>
                    <m:t>ε</m:t>
                  </m:r>
                </m:e>
                <m:sub>
                  <m:r>
                    <w:rPr>
                      <w:rFonts w:ascii="Cambria Math" w:hAnsi="Cambria Math"/>
                      <w:noProof/>
                    </w:rPr>
                    <m:t>t</m:t>
                  </m:r>
                  <m:r>
                    <m:rPr>
                      <m:sty m:val="p"/>
                    </m:rPr>
                    <w:rPr>
                      <w:rFonts w:ascii="Cambria Math" w:hAnsi="Cambria Math"/>
                      <w:noProof/>
                    </w:rPr>
                    <m:t>-1</m:t>
                  </m:r>
                </m:sub>
                <m:sup>
                  <m:r>
                    <m:rPr>
                      <m:sty m:val="p"/>
                    </m:rPr>
                    <w:rPr>
                      <w:rFonts w:ascii="Cambria Math" w:hAnsi="Cambria Math"/>
                      <w:noProof/>
                    </w:rPr>
                    <m:t>2</m:t>
                  </m:r>
                </m:sup>
              </m:sSubSup>
              <m:r>
                <m:rPr>
                  <m:sty m:val="p"/>
                </m:rPr>
                <w:rPr>
                  <w:rFonts w:ascii="Cambria Math" w:hAnsi="Cambria Math"/>
                  <w:noProof/>
                </w:rPr>
                <m:t xml:space="preserve">+ </m:t>
              </m:r>
              <m:r>
                <w:rPr>
                  <w:rFonts w:ascii="Cambria Math" w:hAnsi="Cambria Math"/>
                  <w:noProof/>
                </w:rPr>
                <m:t>β</m:t>
              </m:r>
              <m:sSub>
                <m:sSubPr>
                  <m:ctrlPr>
                    <w:rPr>
                      <w:rFonts w:ascii="Cambria Math" w:hAnsi="Cambria Math"/>
                      <w:noProof/>
                    </w:rPr>
                  </m:ctrlPr>
                </m:sSubPr>
                <m:e>
                  <m:r>
                    <w:rPr>
                      <w:rFonts w:ascii="Cambria Math" w:hAnsi="Cambria Math"/>
                      <w:noProof/>
                    </w:rPr>
                    <m:t>h</m:t>
                  </m:r>
                </m:e>
                <m:sub>
                  <m:r>
                    <w:rPr>
                      <w:rFonts w:ascii="Cambria Math" w:hAnsi="Cambria Math"/>
                      <w:noProof/>
                    </w:rPr>
                    <m:t>t</m:t>
                  </m:r>
                  <m:r>
                    <m:rPr>
                      <m:sty m:val="p"/>
                    </m:rPr>
                    <w:rPr>
                      <w:rFonts w:ascii="Cambria Math" w:hAnsi="Cambria Math"/>
                      <w:noProof/>
                    </w:rPr>
                    <m:t>-1</m:t>
                  </m:r>
                </m:sub>
              </m:sSub>
              <m:r>
                <w:rPr>
                  <w:rFonts w:ascii="Cambria Math" w:hAnsi="Cambria Math"/>
                  <w:noProof/>
                </w:rPr>
                <m:t>#</m:t>
              </m:r>
              <m:d>
                <m:dPr>
                  <m:ctrlPr>
                    <w:rPr>
                      <w:rFonts w:ascii="Cambria Math" w:hAnsi="Cambria Math"/>
                      <w:i/>
                    </w:rPr>
                  </m:ctrlPr>
                </m:dPr>
                <m:e>
                  <m:r>
                    <w:rPr>
                      <w:rFonts w:ascii="Cambria Math" w:hAnsi="Cambria Math"/>
                    </w:rPr>
                    <m:t>21</m:t>
                  </m:r>
                </m:e>
              </m:d>
              <m:ctrlPr>
                <w:rPr>
                  <w:rFonts w:ascii="Cambria Math" w:hAnsi="Cambria Math"/>
                  <w:i/>
                  <w:noProof/>
                </w:rPr>
              </m:ctrlPr>
            </m:e>
          </m:eqArr>
        </m:oMath>
      </m:oMathPara>
    </w:p>
    <w:p w14:paraId="2DF5D5B1" w14:textId="4B13A351" w:rsidR="00F63D24" w:rsidRDefault="00F63D24" w:rsidP="00F63D24">
      <m:oMath>
        <m:r>
          <w:rPr>
            <w:rFonts w:ascii="Cambria Math" w:hAnsi="Cambria Math"/>
          </w:rPr>
          <m:t xml:space="preserve">ε=0.00012,  α=0.21,  β=0.74 </m:t>
        </m:r>
      </m:oMath>
      <w:r>
        <w:t xml:space="preserve">, </w:t>
      </w:r>
      <w:r w:rsidRPr="00F63D24">
        <w:t>The condition α+β=0.95&lt;1 confirms stationarity and slow mean reversion.</w:t>
      </w:r>
    </w:p>
    <w:p w14:paraId="635C9FEE" w14:textId="35E40CFF" w:rsidR="00F63D24" w:rsidRPr="00F63D24" w:rsidRDefault="00F63D24" w:rsidP="009D3930">
      <w:pPr>
        <w:pStyle w:val="Text"/>
        <w:rPr>
          <w:rFonts w:ascii="Calibri" w:hAnsi="Calibri"/>
        </w:rPr>
      </w:pPr>
      <w:r w:rsidRPr="009D3930">
        <w:rPr>
          <w:rFonts w:ascii="Calibri" w:hAnsi="Calibri"/>
          <w:color w:val="0070C0"/>
        </w:rPr>
        <w:t>Fig</w:t>
      </w:r>
      <w:r w:rsidR="00A125F3" w:rsidRPr="009D3930">
        <w:rPr>
          <w:rFonts w:ascii="Calibri" w:hAnsi="Calibri"/>
          <w:color w:val="0070C0"/>
        </w:rPr>
        <w:t>.</w:t>
      </w:r>
      <w:r w:rsidRPr="009D3930">
        <w:rPr>
          <w:rFonts w:ascii="Calibri" w:hAnsi="Calibri"/>
          <w:color w:val="0070C0"/>
        </w:rPr>
        <w:t xml:space="preserve">1  </w:t>
      </w:r>
      <w:r w:rsidRPr="00F63D24">
        <w:rPr>
          <w:rFonts w:ascii="Calibri" w:hAnsi="Calibri"/>
        </w:rPr>
        <w:t>illustrates the conditional variance dynamics over time.</w:t>
      </w:r>
      <w:r w:rsidR="009D3930">
        <w:rPr>
          <w:rFonts w:ascii="Calibri" w:hAnsi="Calibri"/>
        </w:rPr>
        <w:t xml:space="preserve"> </w:t>
      </w:r>
      <w:r w:rsidRPr="00F63D24">
        <w:rPr>
          <w:rFonts w:ascii="Calibri" w:hAnsi="Calibri"/>
        </w:rPr>
        <w:t>Significant volatility clustering was observed during:</w:t>
      </w:r>
    </w:p>
    <w:p w14:paraId="7370644B" w14:textId="60F10D49" w:rsidR="00F63D24" w:rsidRPr="00F63D24" w:rsidRDefault="00F63D24" w:rsidP="00AE0A77">
      <w:pPr>
        <w:pStyle w:val="Text"/>
        <w:numPr>
          <w:ilvl w:val="0"/>
          <w:numId w:val="28"/>
        </w:numPr>
        <w:ind w:left="567"/>
        <w:rPr>
          <w:rFonts w:ascii="Calibri" w:hAnsi="Calibri"/>
        </w:rPr>
      </w:pPr>
      <w:r w:rsidRPr="00F63D24">
        <w:rPr>
          <w:rFonts w:ascii="Calibri" w:hAnsi="Calibri"/>
        </w:rPr>
        <w:t>March–April 2020 (COVID-19 outbreak),</w:t>
      </w:r>
    </w:p>
    <w:p w14:paraId="39C49499" w14:textId="43ADDA0A" w:rsidR="00F63D24" w:rsidRPr="00F63D24" w:rsidRDefault="00F63D24" w:rsidP="00AE0A77">
      <w:pPr>
        <w:pStyle w:val="Text"/>
        <w:numPr>
          <w:ilvl w:val="0"/>
          <w:numId w:val="28"/>
        </w:numPr>
        <w:ind w:left="567"/>
        <w:rPr>
          <w:rFonts w:ascii="Calibri" w:hAnsi="Calibri"/>
        </w:rPr>
      </w:pPr>
      <w:r w:rsidRPr="00F63D24">
        <w:rPr>
          <w:rFonts w:ascii="Calibri" w:hAnsi="Calibri"/>
        </w:rPr>
        <w:t>October 2022 (bond market crisis), and</w:t>
      </w:r>
    </w:p>
    <w:p w14:paraId="45857518" w14:textId="3408F21D" w:rsidR="00F63D24" w:rsidRPr="00F63D24" w:rsidRDefault="00F63D24" w:rsidP="00AE0A77">
      <w:pPr>
        <w:pStyle w:val="Text"/>
        <w:numPr>
          <w:ilvl w:val="0"/>
          <w:numId w:val="28"/>
        </w:numPr>
        <w:ind w:left="567"/>
        <w:rPr>
          <w:rFonts w:ascii="Calibri" w:hAnsi="Calibri"/>
        </w:rPr>
      </w:pPr>
      <w:r w:rsidRPr="00F63D24">
        <w:rPr>
          <w:rFonts w:ascii="Calibri" w:hAnsi="Calibri"/>
        </w:rPr>
        <w:t>May 2023 (global banking stress).</w:t>
      </w:r>
    </w:p>
    <w:p w14:paraId="2BE9E672" w14:textId="1E510BD5" w:rsidR="00F63D24" w:rsidRPr="00F63D24" w:rsidRDefault="00F63D24" w:rsidP="00F63D24">
      <w:pPr>
        <w:pStyle w:val="Text"/>
        <w:rPr>
          <w:rFonts w:ascii="Calibri" w:hAnsi="Calibri"/>
        </w:rPr>
      </w:pPr>
      <w:r w:rsidRPr="00F63D24">
        <w:rPr>
          <w:rFonts w:ascii="Calibri" w:hAnsi="Calibri"/>
        </w:rPr>
        <w:t>The persistence of high volatility implies strong information asymmetry and behavioral herding, both typical of emerging markets.</w:t>
      </w:r>
    </w:p>
    <w:p w14:paraId="4249E261" w14:textId="473A7D41" w:rsidR="00F63D24" w:rsidRPr="00F63D24" w:rsidRDefault="00F63D24" w:rsidP="0064338A">
      <w:pPr>
        <w:pStyle w:val="Text"/>
        <w:ind w:firstLine="0"/>
        <w:rPr>
          <w:rFonts w:ascii="Calibri" w:hAnsi="Calibri"/>
        </w:rPr>
      </w:pPr>
      <w:r w:rsidRPr="00F63D24">
        <w:rPr>
          <w:rFonts w:ascii="Calibri" w:hAnsi="Calibri"/>
        </w:rPr>
        <w:t>This also suggests that GARCH-based Value-at-Risk (</w:t>
      </w:r>
      <w:proofErr w:type="spellStart"/>
      <w:r w:rsidRPr="00F63D24">
        <w:rPr>
          <w:rFonts w:ascii="Calibri" w:hAnsi="Calibri"/>
        </w:rPr>
        <w:t>VaR</w:t>
      </w:r>
      <w:proofErr w:type="spellEnd"/>
      <w:r w:rsidRPr="00F63D24">
        <w:rPr>
          <w:rFonts w:ascii="Calibri" w:hAnsi="Calibri"/>
        </w:rPr>
        <w:t xml:space="preserve">) models are suitable for quantifying short-term downside risk </w:t>
      </w:r>
      <w:r w:rsidRPr="00F63D24">
        <w:rPr>
          <w:rFonts w:ascii="Calibri" w:hAnsi="Calibri"/>
        </w:rPr>
        <w:lastRenderedPageBreak/>
        <w:t>in Vietnamese equities.</w:t>
      </w:r>
    </w:p>
    <w:p w14:paraId="00FFF30D" w14:textId="26ACA239" w:rsidR="00F63D24" w:rsidRPr="0064000C" w:rsidRDefault="00F63D24" w:rsidP="0064000C">
      <w:pPr>
        <w:pStyle w:val="Text"/>
        <w:spacing w:before="120" w:after="60"/>
        <w:ind w:firstLine="204"/>
        <w:outlineLvl w:val="1"/>
        <w:rPr>
          <w:rFonts w:ascii="Calibri" w:hAnsi="Calibri"/>
          <w:i/>
          <w:iCs/>
        </w:rPr>
      </w:pPr>
      <w:r w:rsidRPr="0064000C">
        <w:rPr>
          <w:rFonts w:ascii="Calibri" w:hAnsi="Calibri"/>
          <w:i/>
          <w:iCs/>
        </w:rPr>
        <w:t>D.  Predictive Validity of Technical Indicators (RSI &amp; MACD)</w:t>
      </w:r>
    </w:p>
    <w:p w14:paraId="4D60187B" w14:textId="263FA7D2" w:rsidR="00F63D24" w:rsidRDefault="00AE0A77" w:rsidP="00F63D24">
      <w:pPr>
        <w:pStyle w:val="Text"/>
        <w:rPr>
          <w:rFonts w:ascii="Calibri" w:hAnsi="Calibri"/>
        </w:rPr>
      </w:pPr>
      <w:r w:rsidRPr="00AE0A77">
        <w:rPr>
          <w:rFonts w:ascii="Calibri" w:hAnsi="Calibri"/>
        </w:rPr>
        <w:t>The predictive capacity of the Relative Strength Index (RSI) and Moving Average Convergence Divergence (MACD) was evaluated via a back</w:t>
      </w:r>
      <w:r w:rsidR="00EF1063">
        <w:rPr>
          <w:rFonts w:ascii="Calibri" w:hAnsi="Calibri"/>
        </w:rPr>
        <w:t>-</w:t>
      </w:r>
      <w:r w:rsidRPr="00AE0A77">
        <w:rPr>
          <w:rFonts w:ascii="Calibri" w:hAnsi="Calibri"/>
        </w:rPr>
        <w:t>testing strategy across ten liquid banking stocks. Specific trading signals were defined as follows: RSI generated buy signals when below 30 and sell signals when above 70, while MACD signals were triggered by its crossover with the signal line. Out-of-sample testing yielded the following results: RSI divergence signals successfully predicted 74.6% of short-term reversals, and MACD crossovers aligned with 81.2% of true trend shifts. The combination of both indicators achieved an F1-score of 0.83 for trend prediction. These findings demonstrate that technical momentum indicators can provide robust early warning tools for short-term traders when integrated with statistical modeling. Furthermore, the persistence of high volatility implies strong information asymmetry and behavioral herding, typical of emerging markets, and suggests that GARCH-based Value-at-Risk (</w:t>
      </w:r>
      <w:proofErr w:type="spellStart"/>
      <w:r w:rsidRPr="00AE0A77">
        <w:rPr>
          <w:rFonts w:ascii="Calibri" w:hAnsi="Calibri"/>
        </w:rPr>
        <w:t>VaR</w:t>
      </w:r>
      <w:proofErr w:type="spellEnd"/>
      <w:r w:rsidRPr="00AE0A77">
        <w:rPr>
          <w:rFonts w:ascii="Calibri" w:hAnsi="Calibri"/>
        </w:rPr>
        <w:t>) models are suitable for quantifying short-term downside risk in Vietnamese equities [</w:t>
      </w:r>
      <w:r w:rsidR="0063433C">
        <w:rPr>
          <w:rFonts w:ascii="Calibri" w:hAnsi="Calibri"/>
        </w:rPr>
        <w:t>6</w:t>
      </w:r>
      <w:r w:rsidRPr="00AE0A77">
        <w:rPr>
          <w:rFonts w:ascii="Calibri" w:hAnsi="Calibri"/>
        </w:rPr>
        <w:t>]</w:t>
      </w:r>
      <w:r w:rsidR="00F63D24" w:rsidRPr="00F63D24">
        <w:rPr>
          <w:rFonts w:ascii="Calibri" w:hAnsi="Calibri"/>
        </w:rPr>
        <w:t>.</w:t>
      </w:r>
    </w:p>
    <w:p w14:paraId="75D649BC" w14:textId="3A964F89" w:rsidR="00F63D24" w:rsidRPr="0064000C" w:rsidRDefault="00F63D24" w:rsidP="0064000C">
      <w:pPr>
        <w:pStyle w:val="Text"/>
        <w:spacing w:before="120" w:after="60"/>
        <w:ind w:firstLine="204"/>
        <w:outlineLvl w:val="1"/>
        <w:rPr>
          <w:rFonts w:ascii="Calibri" w:hAnsi="Calibri"/>
          <w:i/>
          <w:iCs/>
        </w:rPr>
      </w:pPr>
      <w:r w:rsidRPr="0064000C">
        <w:rPr>
          <w:rFonts w:ascii="Calibri" w:hAnsi="Calibri"/>
          <w:i/>
          <w:iCs/>
        </w:rPr>
        <w:t>E.   Volatility Dynamics and Market Risk (GARCH Modeling)</w:t>
      </w:r>
    </w:p>
    <w:p w14:paraId="55772588" w14:textId="35213F13" w:rsidR="00F63D24" w:rsidRDefault="00F63D24" w:rsidP="00784EBC">
      <w:pPr>
        <w:pStyle w:val="Text"/>
        <w:spacing w:before="240" w:after="120"/>
        <w:ind w:firstLine="204"/>
        <w:jc w:val="center"/>
        <w:rPr>
          <w:rFonts w:ascii="Calibri" w:hAnsi="Calibri"/>
        </w:rPr>
      </w:pPr>
      <w:r w:rsidRPr="00F63D24">
        <w:rPr>
          <w:rFonts w:ascii="Calibri" w:hAnsi="Calibri"/>
          <w:b/>
          <w:bCs/>
        </w:rPr>
        <w:t>Table IV</w:t>
      </w:r>
      <w:r w:rsidRPr="00F63D24">
        <w:rPr>
          <w:rFonts w:ascii="Calibri" w:hAnsi="Calibri"/>
        </w:rPr>
        <w:t xml:space="preserve"> Summary of Empirical Models and Key Economic Findings</w:t>
      </w:r>
    </w:p>
    <w:tbl>
      <w:tblPr>
        <w:tblStyle w:val="TableGrid"/>
        <w:tblW w:w="0" w:type="auto"/>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191"/>
        <w:gridCol w:w="931"/>
        <w:gridCol w:w="1275"/>
        <w:gridCol w:w="1466"/>
      </w:tblGrid>
      <w:tr w:rsidR="00F63D24" w14:paraId="3DD67572" w14:textId="77777777" w:rsidTr="00284ACB">
        <w:tc>
          <w:tcPr>
            <w:tcW w:w="1191" w:type="dxa"/>
            <w:vAlign w:val="center"/>
          </w:tcPr>
          <w:p w14:paraId="41E75495" w14:textId="793BF4B5" w:rsidR="00F63D24" w:rsidRDefault="00F63D24" w:rsidP="00F63D24">
            <w:pPr>
              <w:pStyle w:val="Text"/>
              <w:ind w:firstLine="0"/>
              <w:jc w:val="left"/>
              <w:rPr>
                <w:rFonts w:ascii="Calibri" w:hAnsi="Calibri"/>
              </w:rPr>
            </w:pPr>
            <w:r w:rsidRPr="00F63D24">
              <w:rPr>
                <w:rFonts w:ascii="Calibri" w:hAnsi="Calibri"/>
              </w:rPr>
              <w:t>Analysis</w:t>
            </w:r>
          </w:p>
        </w:tc>
        <w:tc>
          <w:tcPr>
            <w:tcW w:w="931" w:type="dxa"/>
            <w:vAlign w:val="center"/>
          </w:tcPr>
          <w:p w14:paraId="62A4B1F7" w14:textId="0C27AE15" w:rsidR="00F63D24" w:rsidRDefault="00F63D24" w:rsidP="00F63D24">
            <w:pPr>
              <w:pStyle w:val="Text"/>
              <w:ind w:firstLine="0"/>
              <w:jc w:val="left"/>
              <w:rPr>
                <w:rFonts w:ascii="Calibri" w:hAnsi="Calibri"/>
              </w:rPr>
            </w:pPr>
            <w:r w:rsidRPr="00F63D24">
              <w:rPr>
                <w:rFonts w:ascii="Calibri" w:hAnsi="Calibri"/>
              </w:rPr>
              <w:t>Model</w:t>
            </w:r>
          </w:p>
        </w:tc>
        <w:tc>
          <w:tcPr>
            <w:tcW w:w="1275" w:type="dxa"/>
            <w:vAlign w:val="center"/>
          </w:tcPr>
          <w:p w14:paraId="634C48C4" w14:textId="694E0583" w:rsidR="00F63D24" w:rsidRDefault="00F63D24" w:rsidP="00F63D24">
            <w:pPr>
              <w:pStyle w:val="Text"/>
              <w:ind w:firstLine="0"/>
              <w:jc w:val="left"/>
              <w:rPr>
                <w:rFonts w:ascii="Calibri" w:hAnsi="Calibri"/>
              </w:rPr>
            </w:pPr>
            <w:r w:rsidRPr="00F63D24">
              <w:rPr>
                <w:rFonts w:ascii="Calibri" w:hAnsi="Calibri"/>
              </w:rPr>
              <w:t>Key Finding</w:t>
            </w:r>
          </w:p>
        </w:tc>
        <w:tc>
          <w:tcPr>
            <w:tcW w:w="1466" w:type="dxa"/>
            <w:vAlign w:val="center"/>
          </w:tcPr>
          <w:p w14:paraId="00906099" w14:textId="71366108" w:rsidR="00F63D24" w:rsidRDefault="00F63D24" w:rsidP="00F63D24">
            <w:pPr>
              <w:pStyle w:val="Text"/>
              <w:ind w:firstLine="0"/>
              <w:jc w:val="left"/>
              <w:rPr>
                <w:rFonts w:ascii="Calibri" w:hAnsi="Calibri"/>
              </w:rPr>
            </w:pPr>
            <w:r w:rsidRPr="00F63D24">
              <w:rPr>
                <w:rFonts w:ascii="Calibri" w:hAnsi="Calibri"/>
              </w:rPr>
              <w:t>Economic Implication</w:t>
            </w:r>
          </w:p>
        </w:tc>
      </w:tr>
      <w:tr w:rsidR="00F63D24" w14:paraId="4D9BE06A" w14:textId="77777777" w:rsidTr="00284ACB">
        <w:tc>
          <w:tcPr>
            <w:tcW w:w="1191" w:type="dxa"/>
            <w:vAlign w:val="center"/>
          </w:tcPr>
          <w:p w14:paraId="6764622A" w14:textId="4E356611" w:rsidR="00F63D24" w:rsidRDefault="00F63D24" w:rsidP="00F63D24">
            <w:pPr>
              <w:pStyle w:val="Text"/>
              <w:ind w:firstLine="0"/>
              <w:jc w:val="left"/>
              <w:rPr>
                <w:rFonts w:ascii="Calibri" w:hAnsi="Calibri"/>
              </w:rPr>
            </w:pPr>
            <w:r w:rsidRPr="00F63D24">
              <w:rPr>
                <w:rFonts w:ascii="Calibri" w:hAnsi="Calibri"/>
              </w:rPr>
              <w:t>Sector Rotation</w:t>
            </w:r>
          </w:p>
        </w:tc>
        <w:tc>
          <w:tcPr>
            <w:tcW w:w="931" w:type="dxa"/>
            <w:vAlign w:val="center"/>
          </w:tcPr>
          <w:p w14:paraId="1116E311" w14:textId="7199853F" w:rsidR="00F63D24" w:rsidRDefault="00F63D24" w:rsidP="00F63D24">
            <w:pPr>
              <w:pStyle w:val="Text"/>
              <w:ind w:firstLine="0"/>
              <w:jc w:val="left"/>
              <w:rPr>
                <w:rFonts w:ascii="Calibri" w:hAnsi="Calibri"/>
              </w:rPr>
            </w:pPr>
            <w:r w:rsidRPr="00F63D24">
              <w:rPr>
                <w:rFonts w:ascii="Calibri" w:hAnsi="Calibri"/>
              </w:rPr>
              <w:t>Cross-Correlation</w:t>
            </w:r>
          </w:p>
        </w:tc>
        <w:tc>
          <w:tcPr>
            <w:tcW w:w="1275" w:type="dxa"/>
            <w:vAlign w:val="center"/>
          </w:tcPr>
          <w:p w14:paraId="3611B5AE" w14:textId="2999B162" w:rsidR="00F63D24" w:rsidRDefault="00F63D24" w:rsidP="00F63D24">
            <w:pPr>
              <w:pStyle w:val="Text"/>
              <w:ind w:firstLine="0"/>
              <w:jc w:val="left"/>
              <w:rPr>
                <w:rFonts w:ascii="Calibri" w:hAnsi="Calibri"/>
              </w:rPr>
            </w:pPr>
            <w:r w:rsidRPr="00F63D24">
              <w:rPr>
                <w:rFonts w:ascii="Calibri" w:hAnsi="Calibri"/>
              </w:rPr>
              <w:t>Banking leads VN-Index by 2 days</w:t>
            </w:r>
          </w:p>
        </w:tc>
        <w:tc>
          <w:tcPr>
            <w:tcW w:w="1466" w:type="dxa"/>
            <w:vAlign w:val="center"/>
          </w:tcPr>
          <w:p w14:paraId="60739805" w14:textId="0836BADF" w:rsidR="00F63D24" w:rsidRDefault="00F63D24" w:rsidP="00F63D24">
            <w:pPr>
              <w:pStyle w:val="Text"/>
              <w:ind w:firstLine="0"/>
              <w:jc w:val="left"/>
              <w:rPr>
                <w:rFonts w:ascii="Calibri" w:hAnsi="Calibri"/>
              </w:rPr>
            </w:pPr>
            <w:r w:rsidRPr="00F63D24">
              <w:rPr>
                <w:rFonts w:ascii="Calibri" w:hAnsi="Calibri"/>
              </w:rPr>
              <w:t>Enables sector-based rotation strategies</w:t>
            </w:r>
          </w:p>
        </w:tc>
      </w:tr>
      <w:tr w:rsidR="00F63D24" w14:paraId="6002BDE2" w14:textId="77777777" w:rsidTr="00284ACB">
        <w:tc>
          <w:tcPr>
            <w:tcW w:w="1191" w:type="dxa"/>
            <w:vAlign w:val="center"/>
          </w:tcPr>
          <w:p w14:paraId="6FFD3239" w14:textId="36ABAE51" w:rsidR="00F63D24" w:rsidRDefault="00F63D24" w:rsidP="00F63D24">
            <w:pPr>
              <w:pStyle w:val="Text"/>
              <w:ind w:firstLine="0"/>
              <w:jc w:val="left"/>
              <w:rPr>
                <w:rFonts w:ascii="Calibri" w:hAnsi="Calibri"/>
              </w:rPr>
            </w:pPr>
            <w:r w:rsidRPr="00F63D24">
              <w:rPr>
                <w:rFonts w:ascii="Calibri" w:hAnsi="Calibri"/>
              </w:rPr>
              <w:t>Foreign Flow Impact</w:t>
            </w:r>
          </w:p>
        </w:tc>
        <w:tc>
          <w:tcPr>
            <w:tcW w:w="931" w:type="dxa"/>
            <w:vAlign w:val="center"/>
          </w:tcPr>
          <w:p w14:paraId="5F7CAE3D" w14:textId="734B20D4" w:rsidR="00F63D24" w:rsidRDefault="00F63D24" w:rsidP="00F63D24">
            <w:pPr>
              <w:pStyle w:val="Text"/>
              <w:ind w:firstLine="0"/>
              <w:jc w:val="left"/>
              <w:rPr>
                <w:rFonts w:ascii="Calibri" w:hAnsi="Calibri"/>
              </w:rPr>
            </w:pPr>
            <w:r w:rsidRPr="00F63D24">
              <w:rPr>
                <w:rFonts w:ascii="Calibri" w:hAnsi="Calibri"/>
              </w:rPr>
              <w:t>VAR(2)</w:t>
            </w:r>
          </w:p>
        </w:tc>
        <w:tc>
          <w:tcPr>
            <w:tcW w:w="1275" w:type="dxa"/>
            <w:vAlign w:val="center"/>
          </w:tcPr>
          <w:p w14:paraId="4D354BFA" w14:textId="24376931" w:rsidR="00F63D24" w:rsidRDefault="00F63D24" w:rsidP="00F63D24">
            <w:pPr>
              <w:pStyle w:val="Text"/>
              <w:ind w:firstLine="0"/>
              <w:jc w:val="left"/>
              <w:rPr>
                <w:rFonts w:ascii="Calibri" w:hAnsi="Calibri"/>
              </w:rPr>
            </w:pPr>
            <w:r w:rsidRPr="00F63D24">
              <w:rPr>
                <w:rFonts w:ascii="Calibri" w:hAnsi="Calibri"/>
              </w:rPr>
              <w:t>Foreign buying raises VN-Index by 0.4% (lag 1)</w:t>
            </w:r>
          </w:p>
        </w:tc>
        <w:tc>
          <w:tcPr>
            <w:tcW w:w="1466" w:type="dxa"/>
            <w:vAlign w:val="center"/>
          </w:tcPr>
          <w:p w14:paraId="10B08C4A" w14:textId="7CCB4028" w:rsidR="00F63D24" w:rsidRDefault="00F63D24" w:rsidP="00F63D24">
            <w:pPr>
              <w:pStyle w:val="Text"/>
              <w:ind w:firstLine="0"/>
              <w:jc w:val="left"/>
              <w:rPr>
                <w:rFonts w:ascii="Calibri" w:hAnsi="Calibri"/>
              </w:rPr>
            </w:pPr>
            <w:r w:rsidRPr="00F63D24">
              <w:rPr>
                <w:rFonts w:ascii="Calibri" w:hAnsi="Calibri"/>
              </w:rPr>
              <w:t>Foreign flow as short-term sentiment driver</w:t>
            </w:r>
          </w:p>
        </w:tc>
      </w:tr>
      <w:tr w:rsidR="00F63D24" w14:paraId="6DF198CC" w14:textId="77777777" w:rsidTr="00284ACB">
        <w:tc>
          <w:tcPr>
            <w:tcW w:w="1191" w:type="dxa"/>
            <w:vAlign w:val="center"/>
          </w:tcPr>
          <w:p w14:paraId="643B807C" w14:textId="1C694A0D" w:rsidR="00F63D24" w:rsidRDefault="00F63D24" w:rsidP="00F63D24">
            <w:pPr>
              <w:pStyle w:val="Text"/>
              <w:ind w:firstLine="0"/>
              <w:jc w:val="left"/>
              <w:rPr>
                <w:rFonts w:ascii="Calibri" w:hAnsi="Calibri"/>
              </w:rPr>
            </w:pPr>
            <w:r w:rsidRPr="00F63D24">
              <w:rPr>
                <w:rFonts w:ascii="Calibri" w:hAnsi="Calibri"/>
              </w:rPr>
              <w:t>Volatility Modeling</w:t>
            </w:r>
          </w:p>
        </w:tc>
        <w:tc>
          <w:tcPr>
            <w:tcW w:w="931" w:type="dxa"/>
            <w:vAlign w:val="center"/>
          </w:tcPr>
          <w:p w14:paraId="59BCF8C6" w14:textId="0E4A9098" w:rsidR="00F63D24" w:rsidRDefault="00F63D24" w:rsidP="00F63D24">
            <w:pPr>
              <w:pStyle w:val="Text"/>
              <w:ind w:firstLine="0"/>
              <w:jc w:val="left"/>
              <w:rPr>
                <w:rFonts w:ascii="Calibri" w:hAnsi="Calibri"/>
              </w:rPr>
            </w:pPr>
            <w:r w:rsidRPr="00F63D24">
              <w:rPr>
                <w:rFonts w:ascii="Calibri" w:hAnsi="Calibri"/>
              </w:rPr>
              <w:t>GARCH(1,1)</w:t>
            </w:r>
          </w:p>
        </w:tc>
        <w:tc>
          <w:tcPr>
            <w:tcW w:w="1275" w:type="dxa"/>
            <w:vAlign w:val="center"/>
          </w:tcPr>
          <w:p w14:paraId="41A0BB11" w14:textId="5D99CFB7" w:rsidR="00F63D24" w:rsidRDefault="00F63D24" w:rsidP="00F63D24">
            <w:pPr>
              <w:pStyle w:val="Text"/>
              <w:ind w:firstLine="0"/>
              <w:jc w:val="left"/>
              <w:rPr>
                <w:rFonts w:ascii="Calibri" w:hAnsi="Calibri"/>
              </w:rPr>
            </w:pPr>
            <w:r w:rsidRPr="00F63D24">
              <w:rPr>
                <w:rFonts w:ascii="Calibri" w:hAnsi="Calibri"/>
              </w:rPr>
              <w:t>Persistent volatility clustering (α+β=0.95)</w:t>
            </w:r>
          </w:p>
        </w:tc>
        <w:tc>
          <w:tcPr>
            <w:tcW w:w="1466" w:type="dxa"/>
            <w:vAlign w:val="center"/>
          </w:tcPr>
          <w:p w14:paraId="4E354DAC" w14:textId="70C277AB" w:rsidR="00F63D24" w:rsidRDefault="00F63D24" w:rsidP="00F63D24">
            <w:pPr>
              <w:pStyle w:val="Text"/>
              <w:ind w:firstLine="0"/>
              <w:jc w:val="left"/>
              <w:rPr>
                <w:rFonts w:ascii="Calibri" w:hAnsi="Calibri"/>
              </w:rPr>
            </w:pPr>
            <w:r w:rsidRPr="00F63D24">
              <w:rPr>
                <w:rFonts w:ascii="Calibri" w:hAnsi="Calibri"/>
              </w:rPr>
              <w:t xml:space="preserve">Validates </w:t>
            </w:r>
            <w:proofErr w:type="spellStart"/>
            <w:r w:rsidRPr="00F63D24">
              <w:rPr>
                <w:rFonts w:ascii="Calibri" w:hAnsi="Calibri"/>
              </w:rPr>
              <w:t>VaR</w:t>
            </w:r>
            <w:proofErr w:type="spellEnd"/>
            <w:r w:rsidRPr="00F63D24">
              <w:rPr>
                <w:rFonts w:ascii="Calibri" w:hAnsi="Calibri"/>
              </w:rPr>
              <w:t>-based risk management</w:t>
            </w:r>
          </w:p>
        </w:tc>
      </w:tr>
      <w:tr w:rsidR="00F63D24" w14:paraId="648A56B3" w14:textId="77777777" w:rsidTr="00284ACB">
        <w:tc>
          <w:tcPr>
            <w:tcW w:w="1191" w:type="dxa"/>
            <w:vAlign w:val="center"/>
          </w:tcPr>
          <w:p w14:paraId="687FB7BA" w14:textId="6F75D34E" w:rsidR="00F63D24" w:rsidRDefault="00F63D24" w:rsidP="00F63D24">
            <w:pPr>
              <w:pStyle w:val="Text"/>
              <w:ind w:firstLine="0"/>
              <w:jc w:val="left"/>
              <w:rPr>
                <w:rFonts w:ascii="Calibri" w:hAnsi="Calibri"/>
              </w:rPr>
            </w:pPr>
            <w:r w:rsidRPr="00F63D24">
              <w:rPr>
                <w:rFonts w:ascii="Calibri" w:hAnsi="Calibri"/>
              </w:rPr>
              <w:t>Technical Forecasting</w:t>
            </w:r>
          </w:p>
        </w:tc>
        <w:tc>
          <w:tcPr>
            <w:tcW w:w="931" w:type="dxa"/>
            <w:vAlign w:val="center"/>
          </w:tcPr>
          <w:p w14:paraId="06B850E3" w14:textId="16383EAA" w:rsidR="00F63D24" w:rsidRDefault="00F63D24" w:rsidP="00F63D24">
            <w:pPr>
              <w:pStyle w:val="Text"/>
              <w:ind w:firstLine="0"/>
              <w:jc w:val="left"/>
              <w:rPr>
                <w:rFonts w:ascii="Calibri" w:hAnsi="Calibri"/>
              </w:rPr>
            </w:pPr>
            <w:r w:rsidRPr="00F63D24">
              <w:rPr>
                <w:rFonts w:ascii="Calibri" w:hAnsi="Calibri"/>
              </w:rPr>
              <w:t>RSI + MACD</w:t>
            </w:r>
          </w:p>
        </w:tc>
        <w:tc>
          <w:tcPr>
            <w:tcW w:w="1275" w:type="dxa"/>
            <w:vAlign w:val="center"/>
          </w:tcPr>
          <w:p w14:paraId="6803C0AC" w14:textId="06C8C5D2" w:rsidR="00F63D24" w:rsidRDefault="00F63D24" w:rsidP="00F63D24">
            <w:pPr>
              <w:pStyle w:val="Text"/>
              <w:ind w:firstLine="0"/>
              <w:jc w:val="left"/>
              <w:rPr>
                <w:rFonts w:ascii="Calibri" w:hAnsi="Calibri"/>
              </w:rPr>
            </w:pPr>
            <w:r w:rsidRPr="00F63D24">
              <w:rPr>
                <w:rFonts w:ascii="Calibri" w:hAnsi="Calibri"/>
              </w:rPr>
              <w:t>75-81% predictive accuracy</w:t>
            </w:r>
          </w:p>
        </w:tc>
        <w:tc>
          <w:tcPr>
            <w:tcW w:w="1466" w:type="dxa"/>
            <w:vAlign w:val="center"/>
          </w:tcPr>
          <w:p w14:paraId="730366C4" w14:textId="5F59B665" w:rsidR="00F63D24" w:rsidRDefault="00F63D24" w:rsidP="00F63D24">
            <w:pPr>
              <w:pStyle w:val="Text"/>
              <w:ind w:firstLine="0"/>
              <w:jc w:val="left"/>
              <w:rPr>
                <w:rFonts w:ascii="Calibri" w:hAnsi="Calibri"/>
              </w:rPr>
            </w:pPr>
            <w:r w:rsidRPr="00F63D24">
              <w:rPr>
                <w:rFonts w:ascii="Calibri" w:hAnsi="Calibri"/>
              </w:rPr>
              <w:t>Effective short-term trend confirmation</w:t>
            </w:r>
          </w:p>
        </w:tc>
      </w:tr>
    </w:tbl>
    <w:p w14:paraId="31A26ABA" w14:textId="3F555FD9" w:rsidR="00D86F84" w:rsidRPr="00D86F84" w:rsidRDefault="00D86F84" w:rsidP="00D86F84">
      <w:pPr>
        <w:pStyle w:val="Heading1"/>
        <w:rPr>
          <w:rFonts w:ascii="Calibri" w:hAnsi="Calibri"/>
        </w:rPr>
      </w:pPr>
      <w:r w:rsidRPr="00D86F84">
        <w:rPr>
          <w:rFonts w:ascii="Calibri" w:hAnsi="Calibri"/>
        </w:rPr>
        <w:t>Conclusion</w:t>
      </w:r>
    </w:p>
    <w:p w14:paraId="22350F39" w14:textId="359509B6" w:rsidR="00ED75B6" w:rsidRPr="00ED75B6" w:rsidRDefault="00ED75B6" w:rsidP="002F15B3">
      <w:pPr>
        <w:pStyle w:val="Text"/>
        <w:spacing w:before="60"/>
        <w:ind w:firstLine="204"/>
        <w:rPr>
          <w:rFonts w:ascii="Calibri" w:hAnsi="Calibri"/>
        </w:rPr>
      </w:pPr>
      <w:r w:rsidRPr="00ED75B6">
        <w:rPr>
          <w:rFonts w:ascii="Calibri" w:hAnsi="Calibri"/>
        </w:rPr>
        <w:t>This study establishes a comprehensive quantitative framework for analyzing Vietnam's stock market by integrating statistical, econometric, and technical methods, including Cross-Correlation, VAR, GARCH, and RSI-MACD indicators. The convergence of findings reveals the market exhibits semi-predictable behavior, shaped by both endogenous and exogenous factors. Firstly, sectoral analysis identifies the banking sector as a leading indicator for subsequent movements in other industries. Furthermore, econometric tests show foreign investment flows Granger-</w:t>
      </w:r>
      <w:r w:rsidRPr="00ED75B6">
        <w:rPr>
          <w:rFonts w:ascii="Calibri" w:hAnsi="Calibri"/>
        </w:rPr>
        <w:t>cause market returns, amplifying short-term trends. Moreover</w:t>
      </w:r>
      <w:r w:rsidR="003B692C">
        <w:rPr>
          <w:rFonts w:ascii="Calibri" w:hAnsi="Calibri"/>
        </w:rPr>
        <w:t>,</w:t>
      </w:r>
      <w:r w:rsidRPr="00ED75B6">
        <w:rPr>
          <w:rFonts w:ascii="Calibri" w:hAnsi="Calibri"/>
        </w:rPr>
        <w:t xml:space="preserve"> the GARCH(1,1) model confirms volatility clustering and persistence, a hallmark of emerging markets. Additionally, technical indicators (RSI and MACD) demonstrate high predictive accuracy for short-term trend reversals</w:t>
      </w:r>
      <w:r w:rsidR="003B692C">
        <w:rPr>
          <w:rFonts w:ascii="Calibri" w:hAnsi="Calibri"/>
        </w:rPr>
        <w:t xml:space="preserve"> (</w:t>
      </w:r>
      <w:r w:rsidR="003B692C" w:rsidRPr="003B692C">
        <w:rPr>
          <w:rFonts w:ascii="Calibri" w:hAnsi="Calibri"/>
          <w:color w:val="0070C0"/>
        </w:rPr>
        <w:t>Table IV</w:t>
      </w:r>
      <w:r w:rsidR="003B692C">
        <w:rPr>
          <w:rFonts w:ascii="Calibri" w:hAnsi="Calibri"/>
        </w:rPr>
        <w:t>)</w:t>
      </w:r>
      <w:r w:rsidRPr="00ED75B6">
        <w:rPr>
          <w:rFonts w:ascii="Calibri" w:hAnsi="Calibri"/>
        </w:rPr>
        <w:t>.</w:t>
      </w:r>
    </w:p>
    <w:p w14:paraId="6AE3B9E7" w14:textId="0410AAD5" w:rsidR="00590A73" w:rsidRDefault="00DE76FF" w:rsidP="00ED75B6">
      <w:pPr>
        <w:pStyle w:val="Text"/>
        <w:rPr>
          <w:rFonts w:ascii="Calibri" w:hAnsi="Calibri"/>
        </w:rPr>
      </w:pPr>
      <w:r w:rsidRPr="00DE76FF">
        <w:rPr>
          <w:rFonts w:ascii="Calibri" w:hAnsi="Calibri"/>
        </w:rPr>
        <w:t>Collectively, these insights validate that quantitative time-series models remain reliable tools for strengthening both academic understanding and practical applications in portfolio optimization and risk management. Empirical evidence shows that investors are unlikely to sustain a persistent informational edge sufficient to systematically outperform the market over time [</w:t>
      </w:r>
      <w:r>
        <w:rPr>
          <w:rFonts w:ascii="Calibri" w:hAnsi="Calibri"/>
        </w:rPr>
        <w:t>3</w:t>
      </w:r>
      <w:r w:rsidRPr="00DE76FF">
        <w:rPr>
          <w:rFonts w:ascii="Calibri" w:hAnsi="Calibri"/>
        </w:rPr>
        <w:t>]. Future research should consider integrating machine learning–based forecasting frameworks, high-frequency volatility modelling, and cross-market comparative analyses within the ASEAN region.</w:t>
      </w:r>
    </w:p>
    <w:p w14:paraId="58A014F8" w14:textId="77777777" w:rsidR="00173C6A" w:rsidRPr="00CB654C" w:rsidRDefault="00173C6A" w:rsidP="00894A1E">
      <w:pPr>
        <w:pStyle w:val="FigureCaption"/>
        <w:ind w:firstLine="202"/>
        <w:rPr>
          <w:rFonts w:ascii="Calibri" w:hAnsi="Calibri"/>
          <w:b/>
          <w:bCs/>
        </w:rPr>
      </w:pPr>
    </w:p>
    <w:p w14:paraId="105149CF" w14:textId="77777777" w:rsidR="00894A1E" w:rsidRPr="00DE76FF" w:rsidRDefault="00894A1E" w:rsidP="00894A1E">
      <w:pPr>
        <w:pStyle w:val="FigureCaption"/>
        <w:ind w:firstLine="202"/>
        <w:rPr>
          <w:rFonts w:ascii="Calibri" w:hAnsi="Calibri"/>
          <w:bCs/>
          <w:color w:val="000000" w:themeColor="text1"/>
          <w:sz w:val="20"/>
          <w:szCs w:val="20"/>
        </w:rPr>
      </w:pPr>
      <w:r w:rsidRPr="00CB654C">
        <w:rPr>
          <w:rFonts w:ascii="Calibri" w:hAnsi="Calibri"/>
          <w:b/>
          <w:bCs/>
        </w:rPr>
        <w:t xml:space="preserve"> </w:t>
      </w:r>
      <w:r w:rsidRPr="00CB654C">
        <w:rPr>
          <w:rFonts w:ascii="Calibri" w:hAnsi="Calibri"/>
          <w:bCs/>
          <w:sz w:val="20"/>
          <w:szCs w:val="20"/>
        </w:rPr>
        <w:t xml:space="preserve">   </w:t>
      </w:r>
      <w:r w:rsidRPr="00DE76FF">
        <w:rPr>
          <w:rFonts w:ascii="Calibri" w:hAnsi="Calibri"/>
          <w:bCs/>
          <w:color w:val="000000" w:themeColor="text1"/>
          <w:sz w:val="20"/>
          <w:szCs w:val="20"/>
        </w:rPr>
        <w:t>REFERENCES</w:t>
      </w:r>
    </w:p>
    <w:p w14:paraId="19894A44" w14:textId="77777777" w:rsidR="00894A1E" w:rsidRPr="00DE76FF" w:rsidRDefault="00894A1E" w:rsidP="00894A1E">
      <w:pPr>
        <w:pStyle w:val="FigureCaption"/>
        <w:ind w:firstLine="202"/>
        <w:rPr>
          <w:rFonts w:ascii="Calibri" w:hAnsi="Calibri"/>
          <w:b/>
          <w:bCs/>
          <w:color w:val="000000" w:themeColor="text1"/>
        </w:rPr>
      </w:pPr>
    </w:p>
    <w:p w14:paraId="7D016403" w14:textId="4585D9B9"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 xml:space="preserve">M. </w:t>
      </w:r>
      <w:proofErr w:type="spellStart"/>
      <w:r w:rsidRPr="00DE76FF">
        <w:rPr>
          <w:rFonts w:ascii="Calibri" w:hAnsi="Calibri"/>
          <w:bCs/>
          <w:color w:val="000000" w:themeColor="text1"/>
          <w:sz w:val="18"/>
          <w:szCs w:val="18"/>
        </w:rPr>
        <w:t>Balcilar</w:t>
      </w:r>
      <w:proofErr w:type="spellEnd"/>
      <w:r w:rsidRPr="00DE76FF">
        <w:rPr>
          <w:rFonts w:ascii="Calibri" w:hAnsi="Calibri"/>
          <w:bCs/>
          <w:color w:val="000000" w:themeColor="text1"/>
          <w:sz w:val="18"/>
          <w:szCs w:val="18"/>
        </w:rPr>
        <w:t>, R. Gupta, and C. Kyei, “Macroeconomic shocks and stock market dynamics in emerging economies: Evidence from time-varying parameter VAR models,” Emerging Markets Finance and Trade, vol. 59, no. 3, pp. 481–495, 2023</w:t>
      </w:r>
      <w:r w:rsidR="0026656A" w:rsidRPr="00DE76FF">
        <w:rPr>
          <w:rFonts w:ascii="Calibri" w:hAnsi="Calibri"/>
          <w:bCs/>
          <w:color w:val="000000" w:themeColor="text1"/>
          <w:sz w:val="18"/>
          <w:szCs w:val="18"/>
        </w:rPr>
        <w:t>.</w:t>
      </w:r>
    </w:p>
    <w:p w14:paraId="3966C0D9" w14:textId="06E2B279"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 xml:space="preserve">C. R. Demirer and M. </w:t>
      </w:r>
      <w:proofErr w:type="spellStart"/>
      <w:r w:rsidRPr="00DE76FF">
        <w:rPr>
          <w:rFonts w:ascii="Calibri" w:hAnsi="Calibri"/>
          <w:bCs/>
          <w:color w:val="000000" w:themeColor="text1"/>
          <w:sz w:val="18"/>
          <w:szCs w:val="18"/>
        </w:rPr>
        <w:t>Maghyereh</w:t>
      </w:r>
      <w:proofErr w:type="spellEnd"/>
      <w:r w:rsidRPr="00DE76FF">
        <w:rPr>
          <w:rFonts w:ascii="Calibri" w:hAnsi="Calibri"/>
          <w:bCs/>
          <w:color w:val="000000" w:themeColor="text1"/>
          <w:sz w:val="18"/>
          <w:szCs w:val="18"/>
        </w:rPr>
        <w:t>, “Forecasting tail risk in global equity markets: A comparison of GARCH-type and machine learning models,” Journal of International Financial Markets, Institutions &amp; Money, vol. 89, 2024</w:t>
      </w:r>
      <w:r w:rsidR="0026656A" w:rsidRPr="00DE76FF">
        <w:rPr>
          <w:rFonts w:ascii="Calibri" w:hAnsi="Calibri"/>
          <w:bCs/>
          <w:color w:val="000000" w:themeColor="text1"/>
          <w:sz w:val="18"/>
          <w:szCs w:val="18"/>
        </w:rPr>
        <w:t>.</w:t>
      </w:r>
    </w:p>
    <w:p w14:paraId="3601251E" w14:textId="14FFC6B5"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V. T. Loan, L. N. Hai, N. P. Nga, “Stock crash and how it spreads over the Vietnamese stock market,” *VNU Journal of Economics and Business*, vol. 4, no. 3, 2024, pp. 107–116</w:t>
      </w:r>
      <w:r w:rsidR="0026656A" w:rsidRPr="00DE76FF">
        <w:rPr>
          <w:rFonts w:ascii="Calibri" w:hAnsi="Calibri"/>
          <w:bCs/>
          <w:color w:val="000000" w:themeColor="text1"/>
          <w:sz w:val="18"/>
          <w:szCs w:val="18"/>
        </w:rPr>
        <w:t>.</w:t>
      </w:r>
    </w:p>
    <w:p w14:paraId="64F9B308" w14:textId="10E09023"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 xml:space="preserve">Q. Zhao, C. Wang, R. Gerlach, G. Storti, L. Zhang, “Autoencoder Enhanced </w:t>
      </w:r>
      <w:proofErr w:type="spellStart"/>
      <w:r w:rsidRPr="00DE76FF">
        <w:rPr>
          <w:rFonts w:ascii="Calibri" w:hAnsi="Calibri"/>
          <w:bCs/>
          <w:color w:val="000000" w:themeColor="text1"/>
          <w:sz w:val="18"/>
          <w:szCs w:val="18"/>
        </w:rPr>
        <w:t>Realised</w:t>
      </w:r>
      <w:proofErr w:type="spellEnd"/>
      <w:r w:rsidRPr="00DE76FF">
        <w:rPr>
          <w:rFonts w:ascii="Calibri" w:hAnsi="Calibri"/>
          <w:bCs/>
          <w:color w:val="000000" w:themeColor="text1"/>
          <w:sz w:val="18"/>
          <w:szCs w:val="18"/>
        </w:rPr>
        <w:t xml:space="preserve"> GARCH on Volatility Forecasting,” </w:t>
      </w:r>
      <w:proofErr w:type="spellStart"/>
      <w:r w:rsidRPr="00DE76FF">
        <w:rPr>
          <w:rFonts w:ascii="Calibri" w:hAnsi="Calibri"/>
          <w:bCs/>
          <w:color w:val="000000" w:themeColor="text1"/>
          <w:sz w:val="18"/>
          <w:szCs w:val="18"/>
        </w:rPr>
        <w:t>arXiv</w:t>
      </w:r>
      <w:proofErr w:type="spellEnd"/>
      <w:r w:rsidRPr="00DE76FF">
        <w:rPr>
          <w:rFonts w:ascii="Calibri" w:hAnsi="Calibri"/>
          <w:bCs/>
          <w:color w:val="000000" w:themeColor="text1"/>
          <w:sz w:val="18"/>
          <w:szCs w:val="18"/>
        </w:rPr>
        <w:t xml:space="preserve"> preprint, 2024</w:t>
      </w:r>
      <w:r w:rsidR="0026656A" w:rsidRPr="00DE76FF">
        <w:rPr>
          <w:rFonts w:ascii="Calibri" w:hAnsi="Calibri"/>
          <w:bCs/>
          <w:color w:val="000000" w:themeColor="text1"/>
          <w:sz w:val="18"/>
          <w:szCs w:val="18"/>
        </w:rPr>
        <w:t>.</w:t>
      </w:r>
    </w:p>
    <w:p w14:paraId="5A563084" w14:textId="102C6129" w:rsidR="0026656A" w:rsidRPr="00DE76FF" w:rsidRDefault="00DE76FF"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V. Chung, J. Espinoza, R. Quispe, “Forecasting Financial Volatility Under Structural Breaks: A Comparative Study of GARCH Models and Deep Learning Techniques,” *J. Risk and Financial Management*, vol. 18, no. 9, 2025, Art. no. 494</w:t>
      </w:r>
      <w:r w:rsidR="0026656A" w:rsidRPr="00DE76FF">
        <w:rPr>
          <w:rFonts w:ascii="Calibri" w:hAnsi="Calibri"/>
          <w:bCs/>
          <w:color w:val="000000" w:themeColor="text1"/>
          <w:sz w:val="18"/>
          <w:szCs w:val="18"/>
        </w:rPr>
        <w:t>.</w:t>
      </w:r>
    </w:p>
    <w:p w14:paraId="37902666" w14:textId="77777777" w:rsidR="0026656A" w:rsidRPr="00DE76FF" w:rsidRDefault="0026656A"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 xml:space="preserve">N. </w:t>
      </w:r>
      <w:proofErr w:type="spellStart"/>
      <w:r w:rsidRPr="00DE76FF">
        <w:rPr>
          <w:rFonts w:ascii="Calibri" w:hAnsi="Calibri"/>
          <w:bCs/>
          <w:color w:val="000000" w:themeColor="text1"/>
          <w:sz w:val="18"/>
          <w:szCs w:val="18"/>
        </w:rPr>
        <w:t>Marisetty</w:t>
      </w:r>
      <w:proofErr w:type="spellEnd"/>
      <w:r w:rsidRPr="00DE76FF">
        <w:rPr>
          <w:rFonts w:ascii="Calibri" w:hAnsi="Calibri"/>
          <w:bCs/>
          <w:color w:val="000000" w:themeColor="text1"/>
          <w:sz w:val="18"/>
          <w:szCs w:val="18"/>
        </w:rPr>
        <w:t>, “Applications of GARCH Models in Forecasting Financial Market Volatility: Insights from Leading Global Stock Indexes,” SSRN Electronic Journal, 2024.</w:t>
      </w:r>
    </w:p>
    <w:p w14:paraId="301DE6DB" w14:textId="2A4C8F43" w:rsidR="0026656A" w:rsidRPr="00DE76FF" w:rsidRDefault="00C111AC" w:rsidP="0026656A">
      <w:pPr>
        <w:pStyle w:val="References"/>
        <w:rPr>
          <w:rFonts w:ascii="Calibri" w:hAnsi="Calibri"/>
          <w:bCs/>
          <w:color w:val="000000" w:themeColor="text1"/>
          <w:sz w:val="18"/>
          <w:szCs w:val="18"/>
        </w:rPr>
      </w:pPr>
      <w:r w:rsidRPr="00C111AC">
        <w:rPr>
          <w:rFonts w:ascii="Calibri" w:hAnsi="Calibri"/>
          <w:bCs/>
          <w:color w:val="000000" w:themeColor="text1"/>
          <w:sz w:val="18"/>
          <w:szCs w:val="18"/>
        </w:rPr>
        <w:t xml:space="preserve">A. S. </w:t>
      </w:r>
      <w:proofErr w:type="spellStart"/>
      <w:r w:rsidRPr="00C111AC">
        <w:rPr>
          <w:rFonts w:ascii="Calibri" w:hAnsi="Calibri"/>
          <w:bCs/>
          <w:color w:val="000000" w:themeColor="text1"/>
          <w:sz w:val="18"/>
          <w:szCs w:val="18"/>
        </w:rPr>
        <w:t>Toromade</w:t>
      </w:r>
      <w:proofErr w:type="spellEnd"/>
      <w:r w:rsidRPr="00C111AC">
        <w:rPr>
          <w:rFonts w:ascii="Calibri" w:hAnsi="Calibri"/>
          <w:bCs/>
          <w:color w:val="000000" w:themeColor="text1"/>
          <w:sz w:val="18"/>
          <w:szCs w:val="18"/>
        </w:rPr>
        <w:t xml:space="preserve"> and N. R. Chiekezie, “Forecasting stock prices and market trends using historical data to aid investment decisions,” Journal of Finance and Investment Studies, vol. 6, no. 8, pp. 1472–1472, 2024</w:t>
      </w:r>
      <w:r w:rsidR="0026656A" w:rsidRPr="00DE76FF">
        <w:rPr>
          <w:rFonts w:ascii="Calibri" w:hAnsi="Calibri"/>
          <w:bCs/>
          <w:color w:val="000000" w:themeColor="text1"/>
          <w:sz w:val="18"/>
          <w:szCs w:val="18"/>
        </w:rPr>
        <w:t>.</w:t>
      </w:r>
    </w:p>
    <w:p w14:paraId="062E2432" w14:textId="045714F5" w:rsidR="0026656A" w:rsidRPr="00DE76FF" w:rsidRDefault="00C111AC" w:rsidP="0026656A">
      <w:pPr>
        <w:pStyle w:val="References"/>
        <w:rPr>
          <w:rFonts w:ascii="Calibri" w:hAnsi="Calibri"/>
          <w:bCs/>
          <w:color w:val="000000" w:themeColor="text1"/>
          <w:sz w:val="18"/>
          <w:szCs w:val="18"/>
        </w:rPr>
      </w:pPr>
      <w:r w:rsidRPr="00C111AC">
        <w:rPr>
          <w:rFonts w:ascii="Calibri" w:hAnsi="Calibri"/>
          <w:bCs/>
          <w:color w:val="000000" w:themeColor="text1"/>
          <w:sz w:val="18"/>
          <w:szCs w:val="18"/>
        </w:rPr>
        <w:t xml:space="preserve">M. </w:t>
      </w:r>
      <w:proofErr w:type="spellStart"/>
      <w:r w:rsidRPr="00C111AC">
        <w:rPr>
          <w:rFonts w:ascii="Calibri" w:hAnsi="Calibri"/>
          <w:bCs/>
          <w:color w:val="000000" w:themeColor="text1"/>
          <w:sz w:val="18"/>
          <w:szCs w:val="18"/>
        </w:rPr>
        <w:t>Balcilar</w:t>
      </w:r>
      <w:proofErr w:type="spellEnd"/>
      <w:r w:rsidRPr="00C111AC">
        <w:rPr>
          <w:rFonts w:ascii="Calibri" w:hAnsi="Calibri"/>
          <w:bCs/>
          <w:color w:val="000000" w:themeColor="text1"/>
          <w:sz w:val="18"/>
          <w:szCs w:val="18"/>
        </w:rPr>
        <w:t>, R. Gupta, and C. Kyei, “Macroeconomic shocks and stock market dynamics in emerging economies: Evidence from time-varying parameter VAR models,” Emerging Markets Finance and Trade, vol. 59, no. 3, pp. 481–495, 2023</w:t>
      </w:r>
      <w:r w:rsidR="0026656A" w:rsidRPr="00DE76FF">
        <w:rPr>
          <w:rFonts w:ascii="Calibri" w:hAnsi="Calibri"/>
          <w:bCs/>
          <w:color w:val="000000" w:themeColor="text1"/>
          <w:sz w:val="18"/>
          <w:szCs w:val="18"/>
        </w:rPr>
        <w:t>.</w:t>
      </w:r>
    </w:p>
    <w:p w14:paraId="332F5454" w14:textId="42D9E641" w:rsidR="0026656A" w:rsidRPr="00DE76FF" w:rsidRDefault="00C111AC" w:rsidP="0026656A">
      <w:pPr>
        <w:pStyle w:val="References"/>
        <w:rPr>
          <w:rFonts w:ascii="Calibri" w:hAnsi="Calibri"/>
          <w:bCs/>
          <w:color w:val="000000" w:themeColor="text1"/>
          <w:sz w:val="18"/>
          <w:szCs w:val="18"/>
        </w:rPr>
      </w:pPr>
      <w:r w:rsidRPr="00C111AC">
        <w:rPr>
          <w:rFonts w:ascii="Calibri" w:hAnsi="Calibri"/>
          <w:bCs/>
          <w:color w:val="000000" w:themeColor="text1"/>
          <w:sz w:val="18"/>
          <w:szCs w:val="18"/>
        </w:rPr>
        <w:t xml:space="preserve">C. R. Demirer and M. </w:t>
      </w:r>
      <w:proofErr w:type="spellStart"/>
      <w:r w:rsidRPr="00C111AC">
        <w:rPr>
          <w:rFonts w:ascii="Calibri" w:hAnsi="Calibri"/>
          <w:bCs/>
          <w:color w:val="000000" w:themeColor="text1"/>
          <w:sz w:val="18"/>
          <w:szCs w:val="18"/>
        </w:rPr>
        <w:t>Maghyereh</w:t>
      </w:r>
      <w:proofErr w:type="spellEnd"/>
      <w:r w:rsidRPr="00C111AC">
        <w:rPr>
          <w:rFonts w:ascii="Calibri" w:hAnsi="Calibri"/>
          <w:bCs/>
          <w:color w:val="000000" w:themeColor="text1"/>
          <w:sz w:val="18"/>
          <w:szCs w:val="18"/>
        </w:rPr>
        <w:t>, “Forecasting tail risk in global equity markets: A comparison of GARCH-type and machine learning models,” Journal of International Financial Markets, Institutions &amp; Money, vol. 89, pp. 1–15, 2024</w:t>
      </w:r>
      <w:r w:rsidR="0026656A" w:rsidRPr="00DE76FF">
        <w:rPr>
          <w:rFonts w:ascii="Calibri" w:hAnsi="Calibri"/>
          <w:bCs/>
          <w:color w:val="000000" w:themeColor="text1"/>
          <w:sz w:val="18"/>
          <w:szCs w:val="18"/>
        </w:rPr>
        <w:t>.</w:t>
      </w:r>
    </w:p>
    <w:p w14:paraId="39C2DCE7" w14:textId="77777777" w:rsidR="0026656A" w:rsidRPr="00DE76FF" w:rsidRDefault="0026656A"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 xml:space="preserve">T. H. Khoo, D. </w:t>
      </w:r>
      <w:proofErr w:type="spellStart"/>
      <w:r w:rsidRPr="00DE76FF">
        <w:rPr>
          <w:rFonts w:ascii="Calibri" w:hAnsi="Calibri"/>
          <w:bCs/>
          <w:color w:val="000000" w:themeColor="text1"/>
          <w:sz w:val="18"/>
          <w:szCs w:val="18"/>
        </w:rPr>
        <w:t>Pathmanathan</w:t>
      </w:r>
      <w:proofErr w:type="spellEnd"/>
      <w:r w:rsidRPr="00DE76FF">
        <w:rPr>
          <w:rFonts w:ascii="Calibri" w:hAnsi="Calibri"/>
          <w:bCs/>
          <w:color w:val="000000" w:themeColor="text1"/>
          <w:sz w:val="18"/>
          <w:szCs w:val="18"/>
        </w:rPr>
        <w:t xml:space="preserve">, P. Otto, and S. Dabo-Niang, “A Markov-switching </w:t>
      </w:r>
      <w:proofErr w:type="spellStart"/>
      <w:r w:rsidRPr="00DE76FF">
        <w:rPr>
          <w:rFonts w:ascii="Calibri" w:hAnsi="Calibri"/>
          <w:bCs/>
          <w:color w:val="000000" w:themeColor="text1"/>
          <w:sz w:val="18"/>
          <w:szCs w:val="18"/>
        </w:rPr>
        <w:t>spatio</w:t>
      </w:r>
      <w:proofErr w:type="spellEnd"/>
      <w:r w:rsidRPr="00DE76FF">
        <w:rPr>
          <w:rFonts w:ascii="Calibri" w:hAnsi="Calibri"/>
          <w:bCs/>
          <w:color w:val="000000" w:themeColor="text1"/>
          <w:sz w:val="18"/>
          <w:szCs w:val="18"/>
        </w:rPr>
        <w:t>-temporal ARCH model,” *</w:t>
      </w:r>
      <w:proofErr w:type="spellStart"/>
      <w:r w:rsidRPr="00DE76FF">
        <w:rPr>
          <w:rFonts w:ascii="Calibri" w:hAnsi="Calibri"/>
          <w:bCs/>
          <w:color w:val="000000" w:themeColor="text1"/>
          <w:sz w:val="18"/>
          <w:szCs w:val="18"/>
        </w:rPr>
        <w:t>arXiv</w:t>
      </w:r>
      <w:proofErr w:type="spellEnd"/>
      <w:r w:rsidRPr="00DE76FF">
        <w:rPr>
          <w:rFonts w:ascii="Calibri" w:hAnsi="Calibri"/>
          <w:bCs/>
          <w:color w:val="000000" w:themeColor="text1"/>
          <w:sz w:val="18"/>
          <w:szCs w:val="18"/>
        </w:rPr>
        <w:t xml:space="preserve"> preprint*, arXiv-2310, 2023.</w:t>
      </w:r>
    </w:p>
    <w:p w14:paraId="03A16137" w14:textId="77777777" w:rsidR="0026656A" w:rsidRPr="00DE76FF" w:rsidRDefault="0026656A"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 xml:space="preserve">S. Agrawal, N. Kumar, G. </w:t>
      </w:r>
      <w:proofErr w:type="spellStart"/>
      <w:r w:rsidRPr="00DE76FF">
        <w:rPr>
          <w:rFonts w:ascii="Calibri" w:hAnsi="Calibri"/>
          <w:bCs/>
          <w:color w:val="000000" w:themeColor="text1"/>
          <w:sz w:val="18"/>
          <w:szCs w:val="18"/>
        </w:rPr>
        <w:t>Rathee</w:t>
      </w:r>
      <w:proofErr w:type="spellEnd"/>
      <w:r w:rsidRPr="00DE76FF">
        <w:rPr>
          <w:rFonts w:ascii="Calibri" w:hAnsi="Calibri"/>
          <w:bCs/>
          <w:color w:val="000000" w:themeColor="text1"/>
          <w:sz w:val="18"/>
          <w:szCs w:val="18"/>
        </w:rPr>
        <w:t xml:space="preserve">, C. A. </w:t>
      </w:r>
      <w:proofErr w:type="spellStart"/>
      <w:r w:rsidRPr="00DE76FF">
        <w:rPr>
          <w:rFonts w:ascii="Calibri" w:hAnsi="Calibri"/>
          <w:bCs/>
          <w:color w:val="000000" w:themeColor="text1"/>
          <w:sz w:val="18"/>
          <w:szCs w:val="18"/>
        </w:rPr>
        <w:t>Kerrache</w:t>
      </w:r>
      <w:proofErr w:type="spellEnd"/>
      <w:r w:rsidRPr="00DE76FF">
        <w:rPr>
          <w:rFonts w:ascii="Calibri" w:hAnsi="Calibri"/>
          <w:bCs/>
          <w:color w:val="000000" w:themeColor="text1"/>
          <w:sz w:val="18"/>
          <w:szCs w:val="18"/>
        </w:rPr>
        <w:t>, C. T. Calafate, and M. Bilal, “Improving stock market prediction accuracy using sentiment and technical analysis,” Electronic Commerce Research, pp. 1–24, 2024.</w:t>
      </w:r>
    </w:p>
    <w:p w14:paraId="58D5B816" w14:textId="2E713277" w:rsidR="00894A1E" w:rsidRPr="00DE76FF" w:rsidRDefault="0026656A" w:rsidP="0026656A">
      <w:pPr>
        <w:pStyle w:val="References"/>
        <w:rPr>
          <w:rFonts w:ascii="Calibri" w:hAnsi="Calibri"/>
          <w:bCs/>
          <w:color w:val="000000" w:themeColor="text1"/>
          <w:sz w:val="18"/>
          <w:szCs w:val="18"/>
        </w:rPr>
      </w:pPr>
      <w:r w:rsidRPr="00DE76FF">
        <w:rPr>
          <w:rFonts w:ascii="Calibri" w:hAnsi="Calibri"/>
          <w:bCs/>
          <w:color w:val="000000" w:themeColor="text1"/>
          <w:sz w:val="18"/>
          <w:szCs w:val="18"/>
        </w:rPr>
        <w:t>A. Arora et al., “Time series analysis for stock market prediction: Techniques, challenges, and future directions,” in *Proc. Int. Conf. Smart Trends for Information Technology and Computer Communications*, Singapore: Springer Nature Singapore, pp. 377–387, 2025</w:t>
      </w:r>
    </w:p>
    <w:sectPr w:rsidR="00894A1E" w:rsidRPr="00DE76FF" w:rsidSect="00C9667F">
      <w:type w:val="continuous"/>
      <w:pgSz w:w="11907" w:h="16839" w:code="9"/>
      <w:pgMar w:top="1008" w:right="936" w:bottom="1008" w:left="936" w:header="187" w:footer="216" w:gutter="0"/>
      <w:cols w:num="2" w:space="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3804D" w14:textId="77777777" w:rsidR="00993A5C" w:rsidRDefault="00993A5C">
      <w:r>
        <w:separator/>
      </w:r>
    </w:p>
  </w:endnote>
  <w:endnote w:type="continuationSeparator" w:id="0">
    <w:p w14:paraId="1FB1D7DC" w14:textId="77777777" w:rsidR="00993A5C" w:rsidRDefault="0099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84D4" w14:textId="77777777" w:rsidR="00246587" w:rsidRPr="00C571A2" w:rsidRDefault="00246587" w:rsidP="00C571A2">
    <w:pPr>
      <w:pStyle w:val="Footer"/>
      <w:jc w:val="center"/>
      <w:rPr>
        <w:b/>
      </w:rPr>
    </w:pPr>
    <w:r w:rsidRPr="00C571A2">
      <w:rPr>
        <w:rStyle w:val="PageNumber"/>
        <w:b/>
      </w:rPr>
      <w:fldChar w:fldCharType="begin"/>
    </w:r>
    <w:r w:rsidRPr="00C571A2">
      <w:rPr>
        <w:rStyle w:val="PageNumber"/>
        <w:b/>
      </w:rPr>
      <w:instrText xml:space="preserve"> PAGE </w:instrText>
    </w:r>
    <w:r w:rsidRPr="00C571A2">
      <w:rPr>
        <w:rStyle w:val="PageNumber"/>
        <w:b/>
      </w:rPr>
      <w:fldChar w:fldCharType="separate"/>
    </w:r>
    <w:r>
      <w:rPr>
        <w:rStyle w:val="PageNumber"/>
        <w:b/>
        <w:noProof/>
      </w:rPr>
      <w:t>2</w:t>
    </w:r>
    <w:r w:rsidRPr="00C571A2">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8A0F" w14:textId="77777777" w:rsidR="00246587" w:rsidRPr="00C571A2" w:rsidRDefault="00246587" w:rsidP="00C571A2">
    <w:pPr>
      <w:pStyle w:val="Footer"/>
      <w:jc w:val="center"/>
      <w:rPr>
        <w:b/>
      </w:rPr>
    </w:pPr>
    <w:r w:rsidRPr="00C571A2">
      <w:rPr>
        <w:rStyle w:val="PageNumber"/>
        <w:b/>
      </w:rPr>
      <w:fldChar w:fldCharType="begin"/>
    </w:r>
    <w:r w:rsidRPr="00C571A2">
      <w:rPr>
        <w:rStyle w:val="PageNumber"/>
        <w:b/>
      </w:rPr>
      <w:instrText xml:space="preserve"> PAGE </w:instrText>
    </w:r>
    <w:r w:rsidRPr="00C571A2">
      <w:rPr>
        <w:rStyle w:val="PageNumber"/>
        <w:b/>
      </w:rPr>
      <w:fldChar w:fldCharType="separate"/>
    </w:r>
    <w:r>
      <w:rPr>
        <w:rStyle w:val="PageNumber"/>
        <w:b/>
        <w:noProof/>
      </w:rPr>
      <w:t>1</w:t>
    </w:r>
    <w:r w:rsidRPr="00C571A2">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08052" w14:textId="77777777" w:rsidR="00246587" w:rsidRDefault="00246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55834" w14:textId="77777777" w:rsidR="00993A5C" w:rsidRDefault="00993A5C"/>
  </w:footnote>
  <w:footnote w:type="continuationSeparator" w:id="0">
    <w:p w14:paraId="35BFC2B8" w14:textId="77777777" w:rsidR="00993A5C" w:rsidRDefault="00993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21D6" w14:textId="50603451" w:rsidR="00246587" w:rsidRDefault="00000000" w:rsidP="007F08A9">
    <w:pPr>
      <w:ind w:right="360"/>
      <w:rPr>
        <w:b/>
      </w:rPr>
    </w:pPr>
    <w:r>
      <w:rPr>
        <w:b/>
        <w:noProof/>
      </w:rPr>
      <w:pict w14:anchorId="37272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350" o:spid="_x0000_s1040" type="#_x0000_t75" style="position:absolute;margin-left:0;margin-top:0;width:501.55pt;height:161.9pt;z-index:-251657728;mso-position-horizontal:center;mso-position-horizontal-relative:margin;mso-position-vertical:center;mso-position-vertical-relative:margin" o:allowincell="f">
          <v:imagedata r:id="rId1" o:title="iastem-logo" gain="19661f" blacklevel="22938f"/>
          <w10:wrap anchorx="margin" anchory="margin"/>
        </v:shape>
      </w:pict>
    </w:r>
    <w:r w:rsidR="00246587">
      <w:rPr>
        <w:b/>
        <w:noProof/>
      </w:rPr>
      <w:drawing>
        <wp:anchor distT="0" distB="0" distL="114300" distR="114300" simplePos="0" relativeHeight="251656704" behindDoc="0" locked="0" layoutInCell="1" allowOverlap="1" wp14:anchorId="732612F5" wp14:editId="1A97E606">
          <wp:simplePos x="0" y="0"/>
          <wp:positionH relativeFrom="column">
            <wp:posOffset>2543175</wp:posOffset>
          </wp:positionH>
          <wp:positionV relativeFrom="paragraph">
            <wp:posOffset>-78105</wp:posOffset>
          </wp:positionV>
          <wp:extent cx="1066800" cy="533400"/>
          <wp:effectExtent l="0" t="0" r="0" b="0"/>
          <wp:wrapSquare wrapText="bothSides"/>
          <wp:docPr id="271662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46587" w:rsidRPr="0087023B">
      <w:rPr>
        <w:b/>
      </w:rPr>
      <w:t xml:space="preserve">                                                    </w:t>
    </w:r>
    <w:r w:rsidR="00246587">
      <w:rPr>
        <w:b/>
      </w:rPr>
      <w:t xml:space="preserve">                          </w:t>
    </w:r>
    <w:r w:rsidR="00246587" w:rsidRPr="0087023B">
      <w:rPr>
        <w:b/>
      </w:rPr>
      <w:t xml:space="preserve"> </w:t>
    </w:r>
  </w:p>
  <w:p w14:paraId="49D0DB78" w14:textId="77777777" w:rsidR="00246587" w:rsidRDefault="00246587" w:rsidP="007F08A9">
    <w:pPr>
      <w:ind w:right="360"/>
      <w:jc w:val="center"/>
      <w:rPr>
        <w:b/>
      </w:rPr>
    </w:pPr>
    <w:r>
      <w:rPr>
        <w:b/>
      </w:rPr>
      <w:t xml:space="preserve">  </w:t>
    </w:r>
  </w:p>
  <w:p w14:paraId="6C80646E" w14:textId="77777777" w:rsidR="00246587" w:rsidRPr="005960B3" w:rsidRDefault="00246587" w:rsidP="007F08A9">
    <w:pPr>
      <w:ind w:right="360"/>
      <w:rPr>
        <w:b/>
        <w:color w:val="4F81BD"/>
      </w:rPr>
    </w:pPr>
  </w:p>
  <w:p w14:paraId="1499C800" w14:textId="77777777" w:rsidR="00246587" w:rsidRPr="00CD5F3B" w:rsidRDefault="00246587" w:rsidP="00B15A92">
    <w:pPr>
      <w:ind w:right="360"/>
      <w:jc w:val="center"/>
      <w:rPr>
        <w:b/>
        <w:color w:val="3366FF"/>
        <w:sz w:val="24"/>
        <w:szCs w:val="24"/>
      </w:rPr>
    </w:pPr>
    <w:r>
      <w:rPr>
        <w:b/>
        <w:color w:val="3366FF"/>
        <w:sz w:val="24"/>
        <w:szCs w:val="24"/>
      </w:rPr>
      <w:t xml:space="preserve">  </w:t>
    </w:r>
    <w:r w:rsidRPr="00CD5F3B">
      <w:rPr>
        <w:b/>
        <w:color w:val="3366FF"/>
        <w:sz w:val="24"/>
        <w:szCs w:val="24"/>
      </w:rPr>
      <w:t>ISSN:2277-3754</w:t>
    </w:r>
  </w:p>
  <w:p w14:paraId="6A9A5B2C" w14:textId="77777777" w:rsidR="00246587" w:rsidRDefault="00246587" w:rsidP="007F08A9">
    <w:pPr>
      <w:ind w:right="360"/>
      <w:jc w:val="center"/>
      <w:rPr>
        <w:b/>
      </w:rPr>
    </w:pPr>
    <w:r>
      <w:rPr>
        <w:b/>
      </w:rPr>
      <w:t>International Journal of Engineering and Innovative Technology</w:t>
    </w:r>
    <w:r w:rsidRPr="0087023B">
      <w:rPr>
        <w:b/>
      </w:rPr>
      <w:t xml:space="preserve"> (</w:t>
    </w:r>
    <w:r>
      <w:rPr>
        <w:b/>
      </w:rPr>
      <w:t>IJEIT)</w:t>
    </w:r>
  </w:p>
  <w:p w14:paraId="3EA8A983" w14:textId="77777777" w:rsidR="00246587" w:rsidRPr="007F08A9" w:rsidRDefault="00246587" w:rsidP="007F08A9">
    <w:pPr>
      <w:pStyle w:val="Header"/>
      <w:jc w:val="center"/>
    </w:pPr>
    <w:r>
      <w:rPr>
        <w:b/>
      </w:rPr>
      <w:t>Volume 1, Issue 3, March 2012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142D" w14:textId="77777777" w:rsidR="00246587" w:rsidRDefault="00246587">
    <w:pPr>
      <w:framePr w:wrap="auto" w:vAnchor="text" w:hAnchor="margin" w:xAlign="right" w:y="1"/>
    </w:pPr>
  </w:p>
  <w:p w14:paraId="44E3B5D3" w14:textId="77777777" w:rsidR="00246587" w:rsidRDefault="00246587" w:rsidP="00C51965">
    <w:pPr>
      <w:ind w:right="360"/>
      <w:rPr>
        <w:b/>
      </w:rPr>
    </w:pPr>
    <w:r w:rsidRPr="0087023B">
      <w:rPr>
        <w:b/>
      </w:rPr>
      <w:t xml:space="preserve">                                                    </w:t>
    </w:r>
    <w:r>
      <w:rPr>
        <w:b/>
      </w:rPr>
      <w:t xml:space="preserve">                          </w:t>
    </w:r>
    <w:r w:rsidRPr="0087023B">
      <w:rPr>
        <w:b/>
      </w:rPr>
      <w:t xml:space="preserve"> </w:t>
    </w:r>
  </w:p>
  <w:p w14:paraId="6EC33152" w14:textId="77777777" w:rsidR="00246587" w:rsidRDefault="00246587" w:rsidP="003D4CD8">
    <w:pPr>
      <w:ind w:right="360"/>
      <w:jc w:val="center"/>
      <w:rPr>
        <w:b/>
      </w:rPr>
    </w:pPr>
    <w:r>
      <w:rPr>
        <w:b/>
      </w:rPr>
      <w:t xml:space="preserve">  </w:t>
    </w:r>
  </w:p>
  <w:p w14:paraId="5148168B" w14:textId="77777777" w:rsidR="00246587" w:rsidRPr="005960B3" w:rsidRDefault="00246587" w:rsidP="007F08A9">
    <w:pPr>
      <w:ind w:right="360"/>
      <w:rPr>
        <w:b/>
        <w:color w:val="4F81B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28C5" w14:textId="77777777" w:rsidR="00246587" w:rsidRDefault="00000000">
    <w:pPr>
      <w:pStyle w:val="Header"/>
    </w:pPr>
    <w:r>
      <w:rPr>
        <w:noProof/>
      </w:rPr>
      <w:pict w14:anchorId="16B24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11349" o:spid="_x0000_s1039" type="#_x0000_t75" style="position:absolute;margin-left:0;margin-top:0;width:501.55pt;height:161.9pt;z-index:-251658752;mso-position-horizontal:center;mso-position-horizontal-relative:margin;mso-position-vertical:center;mso-position-vertical-relative:margin" o:allowincell="f">
          <v:imagedata r:id="rId1" o:title="iastem-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408DB2E"/>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0" w:firstLine="0"/>
      </w:pPr>
      <w:rPr>
        <w:rFonts w:hint="default"/>
      </w:rPr>
    </w:lvl>
    <w:lvl w:ilvl="2">
      <w:start w:val="1"/>
      <w:numFmt w:val="decimal"/>
      <w:pStyle w:val="Heading3"/>
      <w:lvlText w:val="%3)"/>
      <w:lvlJc w:val="left"/>
      <w:pPr>
        <w:ind w:left="0" w:firstLine="0"/>
      </w:pPr>
      <w:rPr>
        <w:rFonts w:hint="default"/>
      </w:rPr>
    </w:lvl>
    <w:lvl w:ilvl="3">
      <w:start w:val="1"/>
      <w:numFmt w:val="lowerLetter"/>
      <w:pStyle w:val="Heading4"/>
      <w:lvlText w:val="%4)"/>
      <w:lvlJc w:val="left"/>
      <w:pPr>
        <w:ind w:left="2854" w:hanging="720"/>
      </w:pPr>
      <w:rPr>
        <w:rFonts w:hint="default"/>
      </w:rPr>
    </w:lvl>
    <w:lvl w:ilvl="4">
      <w:start w:val="1"/>
      <w:numFmt w:val="decimal"/>
      <w:pStyle w:val="Heading5"/>
      <w:lvlText w:val="(%5)"/>
      <w:lvlJc w:val="left"/>
      <w:pPr>
        <w:ind w:left="3574" w:hanging="720"/>
      </w:pPr>
      <w:rPr>
        <w:rFonts w:hint="default"/>
      </w:rPr>
    </w:lvl>
    <w:lvl w:ilvl="5">
      <w:start w:val="1"/>
      <w:numFmt w:val="lowerLetter"/>
      <w:pStyle w:val="Heading6"/>
      <w:lvlText w:val="(%6)"/>
      <w:lvlJc w:val="left"/>
      <w:pPr>
        <w:ind w:left="4294" w:hanging="720"/>
      </w:pPr>
      <w:rPr>
        <w:rFonts w:hint="default"/>
      </w:rPr>
    </w:lvl>
    <w:lvl w:ilvl="6">
      <w:start w:val="1"/>
      <w:numFmt w:val="lowerRoman"/>
      <w:pStyle w:val="Heading7"/>
      <w:lvlText w:val="(%7)"/>
      <w:lvlJc w:val="left"/>
      <w:pPr>
        <w:ind w:left="5014" w:hanging="720"/>
      </w:pPr>
      <w:rPr>
        <w:rFonts w:hint="default"/>
      </w:rPr>
    </w:lvl>
    <w:lvl w:ilvl="7">
      <w:start w:val="1"/>
      <w:numFmt w:val="lowerLetter"/>
      <w:pStyle w:val="Heading8"/>
      <w:lvlText w:val="(%8)"/>
      <w:lvlJc w:val="left"/>
      <w:pPr>
        <w:ind w:left="5734" w:hanging="720"/>
      </w:pPr>
      <w:rPr>
        <w:rFonts w:hint="default"/>
      </w:rPr>
    </w:lvl>
    <w:lvl w:ilvl="8">
      <w:start w:val="1"/>
      <w:numFmt w:val="lowerRoman"/>
      <w:pStyle w:val="Heading9"/>
      <w:lvlText w:val="(%9)"/>
      <w:lvlJc w:val="left"/>
      <w:pPr>
        <w:ind w:left="6454" w:hanging="720"/>
      </w:pPr>
      <w:rPr>
        <w:rFonts w:hint="default"/>
      </w:rPr>
    </w:lvl>
  </w:abstractNum>
  <w:abstractNum w:abstractNumId="1" w15:restartNumberingAfterBreak="0">
    <w:nsid w:val="09B210FA"/>
    <w:multiLevelType w:val="hybridMultilevel"/>
    <w:tmpl w:val="72FCA1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B1D66"/>
    <w:multiLevelType w:val="singleLevel"/>
    <w:tmpl w:val="0BEC9FB0"/>
    <w:lvl w:ilvl="0">
      <w:start w:val="1"/>
      <w:numFmt w:val="none"/>
      <w:lvlText w:val=""/>
      <w:legacy w:legacy="1" w:legacySpace="0" w:legacyIndent="0"/>
      <w:lvlJc w:val="left"/>
      <w:pPr>
        <w:ind w:left="288"/>
      </w:pPr>
    </w:lvl>
  </w:abstractNum>
  <w:abstractNum w:abstractNumId="3" w15:restartNumberingAfterBreak="0">
    <w:nsid w:val="2517274C"/>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29E164A9"/>
    <w:multiLevelType w:val="hybridMultilevel"/>
    <w:tmpl w:val="36C81C32"/>
    <w:lvl w:ilvl="0" w:tplc="07802424">
      <w:start w:val="1"/>
      <w:numFmt w:val="upperLetter"/>
      <w:lvlText w:val="%1."/>
      <w:lvlJc w:val="left"/>
      <w:pPr>
        <w:ind w:left="720" w:hanging="360"/>
      </w:pPr>
      <w:rPr>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5322C4"/>
    <w:multiLevelType w:val="hybridMultilevel"/>
    <w:tmpl w:val="001453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E0FFF"/>
    <w:multiLevelType w:val="hybridMultilevel"/>
    <w:tmpl w:val="BFB632AC"/>
    <w:lvl w:ilvl="0" w:tplc="04090015">
      <w:start w:val="1"/>
      <w:numFmt w:val="upperLetter"/>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2D234D8B"/>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8B23F8"/>
    <w:multiLevelType w:val="singleLevel"/>
    <w:tmpl w:val="12CEED98"/>
    <w:lvl w:ilvl="0">
      <w:start w:val="1"/>
      <w:numFmt w:val="decimal"/>
      <w:lvlText w:val="%1."/>
      <w:legacy w:legacy="1" w:legacySpace="0" w:legacyIndent="360"/>
      <w:lvlJc w:val="left"/>
      <w:pPr>
        <w:ind w:left="360" w:hanging="360"/>
      </w:pPr>
    </w:lvl>
  </w:abstractNum>
  <w:abstractNum w:abstractNumId="9" w15:restartNumberingAfterBreak="0">
    <w:nsid w:val="3A877D64"/>
    <w:multiLevelType w:val="singleLevel"/>
    <w:tmpl w:val="BDE818D0"/>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3AAC1CFC"/>
    <w:multiLevelType w:val="singleLevel"/>
    <w:tmpl w:val="3A8EC28E"/>
    <w:lvl w:ilvl="0">
      <w:start w:val="1"/>
      <w:numFmt w:val="decimal"/>
      <w:lvlText w:val="[%1]"/>
      <w:lvlJc w:val="left"/>
      <w:pPr>
        <w:tabs>
          <w:tab w:val="num" w:pos="360"/>
        </w:tabs>
        <w:ind w:left="360" w:hanging="360"/>
      </w:pPr>
    </w:lvl>
  </w:abstractNum>
  <w:abstractNum w:abstractNumId="11" w15:restartNumberingAfterBreak="0">
    <w:nsid w:val="47332F9F"/>
    <w:multiLevelType w:val="singleLevel"/>
    <w:tmpl w:val="488EC81A"/>
    <w:lvl w:ilvl="0">
      <w:start w:val="1"/>
      <w:numFmt w:val="decimal"/>
      <w:lvlText w:val="%1."/>
      <w:legacy w:legacy="1" w:legacySpace="0" w:legacyIndent="360"/>
      <w:lvlJc w:val="left"/>
      <w:pPr>
        <w:ind w:left="360" w:hanging="360"/>
      </w:pPr>
    </w:lvl>
  </w:abstractNum>
  <w:abstractNum w:abstractNumId="12" w15:restartNumberingAfterBreak="0">
    <w:nsid w:val="47FD086C"/>
    <w:multiLevelType w:val="hybridMultilevel"/>
    <w:tmpl w:val="9724C7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0B59CF"/>
    <w:multiLevelType w:val="singleLevel"/>
    <w:tmpl w:val="4A4223A6"/>
    <w:lvl w:ilvl="0">
      <w:start w:val="1"/>
      <w:numFmt w:val="decimal"/>
      <w:lvlText w:val="%1."/>
      <w:legacy w:legacy="1" w:legacySpace="0" w:legacyIndent="360"/>
      <w:lvlJc w:val="left"/>
      <w:pPr>
        <w:ind w:left="360" w:hanging="360"/>
      </w:pPr>
    </w:lvl>
  </w:abstractNum>
  <w:abstractNum w:abstractNumId="14" w15:restartNumberingAfterBreak="0">
    <w:nsid w:val="55630736"/>
    <w:multiLevelType w:val="singleLevel"/>
    <w:tmpl w:val="0BEC9FB0"/>
    <w:lvl w:ilvl="0">
      <w:start w:val="1"/>
      <w:numFmt w:val="none"/>
      <w:lvlText w:val=""/>
      <w:legacy w:legacy="1" w:legacySpace="0" w:legacyIndent="0"/>
      <w:lvlJc w:val="left"/>
      <w:pPr>
        <w:ind w:left="288"/>
      </w:pPr>
    </w:lvl>
  </w:abstractNum>
  <w:abstractNum w:abstractNumId="15"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16" w15:restartNumberingAfterBreak="0">
    <w:nsid w:val="77E315E9"/>
    <w:multiLevelType w:val="singleLevel"/>
    <w:tmpl w:val="0BEC9FB0"/>
    <w:lvl w:ilvl="0">
      <w:start w:val="1"/>
      <w:numFmt w:val="none"/>
      <w:lvlText w:val=""/>
      <w:legacy w:legacy="1" w:legacySpace="0" w:legacyIndent="0"/>
      <w:lvlJc w:val="left"/>
      <w:pPr>
        <w:ind w:left="288"/>
      </w:pPr>
    </w:lvl>
  </w:abstractNum>
  <w:abstractNum w:abstractNumId="17" w15:restartNumberingAfterBreak="0">
    <w:nsid w:val="7A4C0A8E"/>
    <w:multiLevelType w:val="hybridMultilevel"/>
    <w:tmpl w:val="5844BD7C"/>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7F430ABB"/>
    <w:multiLevelType w:val="hybridMultilevel"/>
    <w:tmpl w:val="AF08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6326354">
    <w:abstractNumId w:val="0"/>
  </w:num>
  <w:num w:numId="2" w16cid:durableId="770246343">
    <w:abstractNumId w:val="8"/>
  </w:num>
  <w:num w:numId="3" w16cid:durableId="515848983">
    <w:abstractNumId w:val="8"/>
    <w:lvlOverride w:ilvl="0">
      <w:lvl w:ilvl="0">
        <w:start w:val="1"/>
        <w:numFmt w:val="decimal"/>
        <w:lvlText w:val="%1."/>
        <w:legacy w:legacy="1" w:legacySpace="0" w:legacyIndent="360"/>
        <w:lvlJc w:val="left"/>
        <w:pPr>
          <w:ind w:left="360" w:hanging="360"/>
        </w:pPr>
      </w:lvl>
    </w:lvlOverride>
  </w:num>
  <w:num w:numId="4" w16cid:durableId="2096200071">
    <w:abstractNumId w:val="8"/>
    <w:lvlOverride w:ilvl="0">
      <w:lvl w:ilvl="0">
        <w:start w:val="1"/>
        <w:numFmt w:val="decimal"/>
        <w:lvlText w:val="%1."/>
        <w:legacy w:legacy="1" w:legacySpace="0" w:legacyIndent="360"/>
        <w:lvlJc w:val="left"/>
        <w:pPr>
          <w:ind w:left="360" w:hanging="360"/>
        </w:pPr>
      </w:lvl>
    </w:lvlOverride>
  </w:num>
  <w:num w:numId="5" w16cid:durableId="887883798">
    <w:abstractNumId w:val="8"/>
    <w:lvlOverride w:ilvl="0">
      <w:lvl w:ilvl="0">
        <w:start w:val="1"/>
        <w:numFmt w:val="decimal"/>
        <w:lvlText w:val="%1."/>
        <w:legacy w:legacy="1" w:legacySpace="0" w:legacyIndent="360"/>
        <w:lvlJc w:val="left"/>
        <w:pPr>
          <w:ind w:left="360" w:hanging="360"/>
        </w:pPr>
      </w:lvl>
    </w:lvlOverride>
  </w:num>
  <w:num w:numId="6" w16cid:durableId="1038044422">
    <w:abstractNumId w:val="11"/>
  </w:num>
  <w:num w:numId="7" w16cid:durableId="1370373843">
    <w:abstractNumId w:val="11"/>
    <w:lvlOverride w:ilvl="0">
      <w:lvl w:ilvl="0">
        <w:start w:val="1"/>
        <w:numFmt w:val="decimal"/>
        <w:lvlText w:val="%1."/>
        <w:legacy w:legacy="1" w:legacySpace="0" w:legacyIndent="360"/>
        <w:lvlJc w:val="left"/>
        <w:pPr>
          <w:ind w:left="360" w:hanging="360"/>
        </w:pPr>
      </w:lvl>
    </w:lvlOverride>
  </w:num>
  <w:num w:numId="8" w16cid:durableId="1534002479">
    <w:abstractNumId w:val="11"/>
    <w:lvlOverride w:ilvl="0">
      <w:lvl w:ilvl="0">
        <w:start w:val="1"/>
        <w:numFmt w:val="decimal"/>
        <w:lvlText w:val="%1."/>
        <w:legacy w:legacy="1" w:legacySpace="0" w:legacyIndent="360"/>
        <w:lvlJc w:val="left"/>
        <w:pPr>
          <w:ind w:left="360" w:hanging="360"/>
        </w:pPr>
      </w:lvl>
    </w:lvlOverride>
  </w:num>
  <w:num w:numId="9" w16cid:durableId="617564726">
    <w:abstractNumId w:val="11"/>
    <w:lvlOverride w:ilvl="0">
      <w:lvl w:ilvl="0">
        <w:start w:val="1"/>
        <w:numFmt w:val="decimal"/>
        <w:lvlText w:val="%1."/>
        <w:legacy w:legacy="1" w:legacySpace="0" w:legacyIndent="360"/>
        <w:lvlJc w:val="left"/>
        <w:pPr>
          <w:ind w:left="360" w:hanging="360"/>
        </w:pPr>
      </w:lvl>
    </w:lvlOverride>
  </w:num>
  <w:num w:numId="10" w16cid:durableId="1130827374">
    <w:abstractNumId w:val="11"/>
    <w:lvlOverride w:ilvl="0">
      <w:lvl w:ilvl="0">
        <w:start w:val="1"/>
        <w:numFmt w:val="decimal"/>
        <w:lvlText w:val="%1."/>
        <w:legacy w:legacy="1" w:legacySpace="0" w:legacyIndent="360"/>
        <w:lvlJc w:val="left"/>
        <w:pPr>
          <w:ind w:left="360" w:hanging="360"/>
        </w:pPr>
      </w:lvl>
    </w:lvlOverride>
  </w:num>
  <w:num w:numId="11" w16cid:durableId="1292596440">
    <w:abstractNumId w:val="11"/>
    <w:lvlOverride w:ilvl="0">
      <w:lvl w:ilvl="0">
        <w:start w:val="1"/>
        <w:numFmt w:val="decimal"/>
        <w:lvlText w:val="%1."/>
        <w:legacy w:legacy="1" w:legacySpace="0" w:legacyIndent="360"/>
        <w:lvlJc w:val="left"/>
        <w:pPr>
          <w:ind w:left="360" w:hanging="360"/>
        </w:pPr>
      </w:lvl>
    </w:lvlOverride>
  </w:num>
  <w:num w:numId="12" w16cid:durableId="34044134">
    <w:abstractNumId w:val="9"/>
  </w:num>
  <w:num w:numId="13" w16cid:durableId="693775547">
    <w:abstractNumId w:val="2"/>
  </w:num>
  <w:num w:numId="14" w16cid:durableId="2142570926">
    <w:abstractNumId w:val="14"/>
  </w:num>
  <w:num w:numId="15" w16cid:durableId="1688478096">
    <w:abstractNumId w:val="13"/>
  </w:num>
  <w:num w:numId="16" w16cid:durableId="622929938">
    <w:abstractNumId w:val="16"/>
  </w:num>
  <w:num w:numId="17" w16cid:durableId="954024867">
    <w:abstractNumId w:val="7"/>
  </w:num>
  <w:num w:numId="18" w16cid:durableId="1990790634">
    <w:abstractNumId w:val="3"/>
  </w:num>
  <w:num w:numId="19" w16cid:durableId="301430341">
    <w:abstractNumId w:val="15"/>
  </w:num>
  <w:num w:numId="20" w16cid:durableId="1738016790">
    <w:abstractNumId w:val="10"/>
  </w:num>
  <w:num w:numId="21" w16cid:durableId="261114535">
    <w:abstractNumId w:val="6"/>
  </w:num>
  <w:num w:numId="22" w16cid:durableId="229969390">
    <w:abstractNumId w:val="4"/>
  </w:num>
  <w:num w:numId="23" w16cid:durableId="769424402">
    <w:abstractNumId w:val="5"/>
  </w:num>
  <w:num w:numId="24" w16cid:durableId="102502254">
    <w:abstractNumId w:val="12"/>
  </w:num>
  <w:num w:numId="25" w16cid:durableId="798572819">
    <w:abstractNumId w:val="1"/>
  </w:num>
  <w:num w:numId="26" w16cid:durableId="37047271">
    <w:abstractNumId w:val="0"/>
  </w:num>
  <w:num w:numId="27" w16cid:durableId="1969164716">
    <w:abstractNumId w:val="17"/>
  </w:num>
  <w:num w:numId="28" w16cid:durableId="14495457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92C"/>
    <w:rsid w:val="000120DE"/>
    <w:rsid w:val="000342BC"/>
    <w:rsid w:val="00053099"/>
    <w:rsid w:val="0006545C"/>
    <w:rsid w:val="0009450F"/>
    <w:rsid w:val="000B3D86"/>
    <w:rsid w:val="000D632A"/>
    <w:rsid w:val="000E1369"/>
    <w:rsid w:val="00106077"/>
    <w:rsid w:val="00120134"/>
    <w:rsid w:val="00173C6A"/>
    <w:rsid w:val="00182A8D"/>
    <w:rsid w:val="001B310F"/>
    <w:rsid w:val="001B6AD4"/>
    <w:rsid w:val="001C5E06"/>
    <w:rsid w:val="00204494"/>
    <w:rsid w:val="002123BA"/>
    <w:rsid w:val="002248FB"/>
    <w:rsid w:val="00246587"/>
    <w:rsid w:val="0026656A"/>
    <w:rsid w:val="00284ACB"/>
    <w:rsid w:val="00292C3D"/>
    <w:rsid w:val="00297458"/>
    <w:rsid w:val="002B0128"/>
    <w:rsid w:val="002B6F01"/>
    <w:rsid w:val="002D4C67"/>
    <w:rsid w:val="002F15B3"/>
    <w:rsid w:val="00321CA7"/>
    <w:rsid w:val="00322BAF"/>
    <w:rsid w:val="003260FF"/>
    <w:rsid w:val="0033382E"/>
    <w:rsid w:val="003464D0"/>
    <w:rsid w:val="00383604"/>
    <w:rsid w:val="003A037C"/>
    <w:rsid w:val="003A37D6"/>
    <w:rsid w:val="003A4286"/>
    <w:rsid w:val="003B692C"/>
    <w:rsid w:val="003D4CD8"/>
    <w:rsid w:val="003E0A95"/>
    <w:rsid w:val="003E1B3E"/>
    <w:rsid w:val="003E4C65"/>
    <w:rsid w:val="003F5BD3"/>
    <w:rsid w:val="00400FE2"/>
    <w:rsid w:val="00417E38"/>
    <w:rsid w:val="004257EB"/>
    <w:rsid w:val="00486202"/>
    <w:rsid w:val="0049392C"/>
    <w:rsid w:val="004A6849"/>
    <w:rsid w:val="004A6AD2"/>
    <w:rsid w:val="004C6F07"/>
    <w:rsid w:val="004D01B1"/>
    <w:rsid w:val="004F0AF7"/>
    <w:rsid w:val="00510A7C"/>
    <w:rsid w:val="00515811"/>
    <w:rsid w:val="00553ACE"/>
    <w:rsid w:val="00562437"/>
    <w:rsid w:val="00565A18"/>
    <w:rsid w:val="00571CD5"/>
    <w:rsid w:val="00587815"/>
    <w:rsid w:val="00590A73"/>
    <w:rsid w:val="005960B3"/>
    <w:rsid w:val="005978BB"/>
    <w:rsid w:val="005B600C"/>
    <w:rsid w:val="005C19D1"/>
    <w:rsid w:val="005F2365"/>
    <w:rsid w:val="005F2DF0"/>
    <w:rsid w:val="005F6C8C"/>
    <w:rsid w:val="00603B34"/>
    <w:rsid w:val="00612E1F"/>
    <w:rsid w:val="00627508"/>
    <w:rsid w:val="0063433C"/>
    <w:rsid w:val="00634D9E"/>
    <w:rsid w:val="0064000C"/>
    <w:rsid w:val="0064338A"/>
    <w:rsid w:val="00644D81"/>
    <w:rsid w:val="00647ED5"/>
    <w:rsid w:val="0065458A"/>
    <w:rsid w:val="00666A6D"/>
    <w:rsid w:val="0067357F"/>
    <w:rsid w:val="00687533"/>
    <w:rsid w:val="006A3EC4"/>
    <w:rsid w:val="006B34D0"/>
    <w:rsid w:val="006C3458"/>
    <w:rsid w:val="006C4E75"/>
    <w:rsid w:val="0070021A"/>
    <w:rsid w:val="007068D4"/>
    <w:rsid w:val="00720142"/>
    <w:rsid w:val="00762FCA"/>
    <w:rsid w:val="007833CD"/>
    <w:rsid w:val="00784EBC"/>
    <w:rsid w:val="00787122"/>
    <w:rsid w:val="00792A02"/>
    <w:rsid w:val="007B3708"/>
    <w:rsid w:val="007C5EB3"/>
    <w:rsid w:val="007D3437"/>
    <w:rsid w:val="007F08A9"/>
    <w:rsid w:val="007F0EEE"/>
    <w:rsid w:val="008047ED"/>
    <w:rsid w:val="00825792"/>
    <w:rsid w:val="008358C4"/>
    <w:rsid w:val="00837706"/>
    <w:rsid w:val="00855069"/>
    <w:rsid w:val="0087023B"/>
    <w:rsid w:val="00881742"/>
    <w:rsid w:val="00890CCC"/>
    <w:rsid w:val="00894A1E"/>
    <w:rsid w:val="008A12F8"/>
    <w:rsid w:val="008B48D1"/>
    <w:rsid w:val="008C7415"/>
    <w:rsid w:val="008E6EF2"/>
    <w:rsid w:val="008F3877"/>
    <w:rsid w:val="00905231"/>
    <w:rsid w:val="0091379B"/>
    <w:rsid w:val="009213FA"/>
    <w:rsid w:val="00943649"/>
    <w:rsid w:val="0095138A"/>
    <w:rsid w:val="00960ABD"/>
    <w:rsid w:val="00974B97"/>
    <w:rsid w:val="00993A5C"/>
    <w:rsid w:val="009B6F18"/>
    <w:rsid w:val="009C0274"/>
    <w:rsid w:val="009C09FD"/>
    <w:rsid w:val="009D3930"/>
    <w:rsid w:val="009D6E5A"/>
    <w:rsid w:val="009F1954"/>
    <w:rsid w:val="00A125F3"/>
    <w:rsid w:val="00A23694"/>
    <w:rsid w:val="00A31D78"/>
    <w:rsid w:val="00A80AC4"/>
    <w:rsid w:val="00AC7AD8"/>
    <w:rsid w:val="00AE0A77"/>
    <w:rsid w:val="00B03A26"/>
    <w:rsid w:val="00B15A92"/>
    <w:rsid w:val="00B20864"/>
    <w:rsid w:val="00B423CC"/>
    <w:rsid w:val="00B92223"/>
    <w:rsid w:val="00B97714"/>
    <w:rsid w:val="00BA5AC9"/>
    <w:rsid w:val="00BD192A"/>
    <w:rsid w:val="00BE109C"/>
    <w:rsid w:val="00BE7DEC"/>
    <w:rsid w:val="00C111AC"/>
    <w:rsid w:val="00C465E9"/>
    <w:rsid w:val="00C51965"/>
    <w:rsid w:val="00C571A2"/>
    <w:rsid w:val="00C64A13"/>
    <w:rsid w:val="00C75437"/>
    <w:rsid w:val="00C853E5"/>
    <w:rsid w:val="00C8649E"/>
    <w:rsid w:val="00C9667F"/>
    <w:rsid w:val="00CA2017"/>
    <w:rsid w:val="00CB654C"/>
    <w:rsid w:val="00CD5F3B"/>
    <w:rsid w:val="00D0150E"/>
    <w:rsid w:val="00D13268"/>
    <w:rsid w:val="00D17167"/>
    <w:rsid w:val="00D26353"/>
    <w:rsid w:val="00D31797"/>
    <w:rsid w:val="00D5325D"/>
    <w:rsid w:val="00D65250"/>
    <w:rsid w:val="00D66039"/>
    <w:rsid w:val="00D86F84"/>
    <w:rsid w:val="00D87E75"/>
    <w:rsid w:val="00D9137F"/>
    <w:rsid w:val="00DD01C8"/>
    <w:rsid w:val="00DE76FF"/>
    <w:rsid w:val="00DF65C6"/>
    <w:rsid w:val="00E03DE0"/>
    <w:rsid w:val="00E63757"/>
    <w:rsid w:val="00E855D5"/>
    <w:rsid w:val="00E9006E"/>
    <w:rsid w:val="00E94362"/>
    <w:rsid w:val="00EA0620"/>
    <w:rsid w:val="00EB092C"/>
    <w:rsid w:val="00EC00F7"/>
    <w:rsid w:val="00ED75B6"/>
    <w:rsid w:val="00EE771C"/>
    <w:rsid w:val="00EF1063"/>
    <w:rsid w:val="00F03142"/>
    <w:rsid w:val="00F10D77"/>
    <w:rsid w:val="00F3603E"/>
    <w:rsid w:val="00F42F8B"/>
    <w:rsid w:val="00F46035"/>
    <w:rsid w:val="00F50ABA"/>
    <w:rsid w:val="00F63D24"/>
    <w:rsid w:val="00F85D50"/>
    <w:rsid w:val="00F9275E"/>
    <w:rsid w:val="00F97DE1"/>
    <w:rsid w:val="00FA15DA"/>
    <w:rsid w:val="00FA532D"/>
    <w:rsid w:val="00FA7A6F"/>
    <w:rsid w:val="00FB2F39"/>
    <w:rsid w:val="00FC6E6B"/>
    <w:rsid w:val="00FD5481"/>
    <w:rsid w:val="00FE4B36"/>
    <w:rsid w:val="00FF6647"/>
    <w:rsid w:val="00FF7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3BA9B"/>
  <w15:chartTrackingRefBased/>
  <w15:docId w15:val="{61446B96-4352-449A-A90C-BD6FDC94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style>
  <w:style w:type="paragraph" w:styleId="Heading1">
    <w:name w:val="heading 1"/>
    <w:basedOn w:val="Normal"/>
    <w:next w:val="Normal"/>
    <w:link w:val="Heading1Char"/>
    <w:qFormat/>
    <w:pPr>
      <w:keepNext/>
      <w:numPr>
        <w:numId w:val="1"/>
      </w:numPr>
      <w:spacing w:before="240" w:after="80"/>
      <w:jc w:val="center"/>
      <w:outlineLvl w:val="0"/>
    </w:pPr>
    <w:rPr>
      <w:smallCaps/>
      <w:kern w:val="28"/>
    </w:rPr>
  </w:style>
  <w:style w:type="paragraph" w:styleId="Heading2">
    <w:name w:val="heading 2"/>
    <w:basedOn w:val="Normal"/>
    <w:next w:val="Normal"/>
    <w:qFormat/>
    <w:pPr>
      <w:keepNext/>
      <w:numPr>
        <w:ilvl w:val="1"/>
        <w:numId w:val="1"/>
      </w:numPr>
      <w:spacing w:before="120" w:after="60"/>
      <w:outlineLvl w:val="1"/>
    </w:pPr>
    <w:rPr>
      <w:i/>
      <w:iCs/>
    </w:rPr>
  </w:style>
  <w:style w:type="paragraph" w:styleId="Heading3">
    <w:name w:val="heading 3"/>
    <w:basedOn w:val="Normal"/>
    <w:next w:val="Normal"/>
    <w:qFormat/>
    <w:pPr>
      <w:keepNext/>
      <w:numPr>
        <w:ilvl w:val="2"/>
        <w:numId w:val="1"/>
      </w:numPr>
      <w:outlineLvl w:val="2"/>
    </w:pPr>
    <w:rPr>
      <w:i/>
      <w:iCs/>
    </w:rPr>
  </w:style>
  <w:style w:type="paragraph" w:styleId="Heading4">
    <w:name w:val="heading 4"/>
    <w:basedOn w:val="Normal"/>
    <w:next w:val="Normal"/>
    <w:qFormat/>
    <w:pPr>
      <w:keepNext/>
      <w:numPr>
        <w:ilvl w:val="3"/>
        <w:numId w:val="1"/>
      </w:numPr>
      <w:spacing w:before="240" w:after="60"/>
      <w:outlineLvl w:val="3"/>
    </w:pPr>
    <w:rPr>
      <w:i/>
      <w:iCs/>
      <w:sz w:val="18"/>
      <w:szCs w:val="18"/>
    </w:rPr>
  </w:style>
  <w:style w:type="paragraph" w:styleId="Heading5">
    <w:name w:val="heading 5"/>
    <w:basedOn w:val="Normal"/>
    <w:next w:val="Normal"/>
    <w:qFormat/>
    <w:pPr>
      <w:numPr>
        <w:ilvl w:val="4"/>
        <w:numId w:val="1"/>
      </w:numPr>
      <w:spacing w:before="240" w:after="60"/>
      <w:outlineLvl w:val="4"/>
    </w:pPr>
    <w:rPr>
      <w:sz w:val="18"/>
      <w:szCs w:val="18"/>
    </w:rPr>
  </w:style>
  <w:style w:type="paragraph" w:styleId="Heading6">
    <w:name w:val="heading 6"/>
    <w:basedOn w:val="Normal"/>
    <w:next w:val="Normal"/>
    <w:qFormat/>
    <w:pPr>
      <w:numPr>
        <w:ilvl w:val="5"/>
        <w:numId w:val="1"/>
      </w:numPr>
      <w:spacing w:before="240" w:after="60"/>
      <w:outlineLvl w:val="5"/>
    </w:pPr>
    <w:rPr>
      <w:i/>
      <w:iCs/>
      <w:sz w:val="16"/>
      <w:szCs w:val="16"/>
    </w:rPr>
  </w:style>
  <w:style w:type="paragraph" w:styleId="Heading7">
    <w:name w:val="heading 7"/>
    <w:basedOn w:val="Normal"/>
    <w:next w:val="Normal"/>
    <w:qFormat/>
    <w:pPr>
      <w:numPr>
        <w:ilvl w:val="6"/>
        <w:numId w:val="1"/>
      </w:numPr>
      <w:spacing w:before="240" w:after="60"/>
      <w:outlineLvl w:val="6"/>
    </w:pPr>
    <w:rPr>
      <w:sz w:val="16"/>
      <w:szCs w:val="16"/>
    </w:rPr>
  </w:style>
  <w:style w:type="paragraph" w:styleId="Heading8">
    <w:name w:val="heading 8"/>
    <w:basedOn w:val="Normal"/>
    <w:next w:val="Normal"/>
    <w:qFormat/>
    <w:pPr>
      <w:numPr>
        <w:ilvl w:val="7"/>
        <w:numId w:val="1"/>
      </w:numPr>
      <w:spacing w:before="240" w:after="60"/>
      <w:outlineLvl w:val="7"/>
    </w:pPr>
    <w:rPr>
      <w:i/>
      <w:iCs/>
      <w:sz w:val="16"/>
      <w:szCs w:val="16"/>
    </w:rPr>
  </w:style>
  <w:style w:type="paragraph" w:styleId="Heading9">
    <w:name w:val="heading 9"/>
    <w:basedOn w:val="Normal"/>
    <w:next w:val="Normal"/>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basedOn w:val="DefaultParagraphFont"/>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jc w:val="center"/>
    </w:pPr>
    <w:rPr>
      <w:kern w:val="28"/>
      <w:sz w:val="48"/>
      <w:szCs w:val="48"/>
    </w:rPr>
  </w:style>
  <w:style w:type="paragraph" w:styleId="FootnoteText">
    <w:name w:val="footnote text"/>
    <w:basedOn w:val="Normal"/>
    <w:semiHidden/>
    <w:pPr>
      <w:ind w:firstLine="202"/>
      <w:jc w:val="both"/>
    </w:pPr>
    <w:rPr>
      <w:sz w:val="16"/>
      <w:szCs w:val="16"/>
    </w:rPr>
  </w:style>
  <w:style w:type="paragraph" w:customStyle="1" w:styleId="References">
    <w:name w:val="References"/>
    <w:basedOn w:val="Normal"/>
    <w:pPr>
      <w:numPr>
        <w:numId w:val="1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basedOn w:val="DefaultParagraphFont"/>
    <w:semiHidden/>
    <w:rPr>
      <w:vertAlign w:val="superscript"/>
    </w:rPr>
  </w:style>
  <w:style w:type="paragraph" w:styleId="Footer">
    <w:name w:val="footer"/>
    <w:basedOn w:val="Normal"/>
    <w:pPr>
      <w:tabs>
        <w:tab w:val="center" w:pos="4320"/>
        <w:tab w:val="right" w:pos="8640"/>
      </w:tabs>
    </w:pPr>
  </w:style>
  <w:style w:type="paragraph" w:customStyle="1" w:styleId="Text">
    <w:name w:val="Text"/>
    <w:basedOn w:val="Normal"/>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
    <w:name w:val="Body Text Indent"/>
    <w:basedOn w:val="Normal"/>
    <w:pPr>
      <w:ind w:left="630" w:hanging="630"/>
    </w:pPr>
    <w:rPr>
      <w:szCs w:val="24"/>
    </w:rPr>
  </w:style>
  <w:style w:type="character" w:styleId="PageNumber">
    <w:name w:val="page number"/>
    <w:basedOn w:val="DefaultParagraphFont"/>
    <w:rsid w:val="00C571A2"/>
  </w:style>
  <w:style w:type="character" w:styleId="UnresolvedMention">
    <w:name w:val="Unresolved Mention"/>
    <w:basedOn w:val="DefaultParagraphFont"/>
    <w:uiPriority w:val="99"/>
    <w:semiHidden/>
    <w:unhideWhenUsed/>
    <w:rsid w:val="009B6F18"/>
    <w:rPr>
      <w:color w:val="605E5C"/>
      <w:shd w:val="clear" w:color="auto" w:fill="E1DFDD"/>
    </w:rPr>
  </w:style>
  <w:style w:type="character" w:customStyle="1" w:styleId="Heading1Char">
    <w:name w:val="Heading 1 Char"/>
    <w:link w:val="Heading1"/>
    <w:rsid w:val="0049392C"/>
    <w:rPr>
      <w:smallCaps/>
      <w:kern w:val="28"/>
    </w:rPr>
  </w:style>
  <w:style w:type="character" w:styleId="PlaceholderText">
    <w:name w:val="Placeholder Text"/>
    <w:basedOn w:val="DefaultParagraphFont"/>
    <w:uiPriority w:val="99"/>
    <w:semiHidden/>
    <w:rsid w:val="00D87E75"/>
    <w:rPr>
      <w:color w:val="666666"/>
    </w:rPr>
  </w:style>
  <w:style w:type="paragraph" w:customStyle="1" w:styleId="math">
    <w:name w:val="math"/>
    <w:basedOn w:val="Normal"/>
    <w:link w:val="mathChar"/>
    <w:qFormat/>
    <w:rsid w:val="00BE109C"/>
    <w:pPr>
      <w:overflowPunct w:val="0"/>
      <w:adjustRightInd w:val="0"/>
      <w:spacing w:before="160" w:after="160" w:line="240" w:lineRule="atLeast"/>
      <w:ind w:right="-28"/>
      <w:jc w:val="center"/>
      <w:textAlignment w:val="baseline"/>
    </w:pPr>
    <w:rPr>
      <w:rFonts w:ascii="Cambria Math" w:eastAsia="Times New Roman" w:hAnsi="Cambria Math"/>
    </w:rPr>
  </w:style>
  <w:style w:type="character" w:customStyle="1" w:styleId="mathChar">
    <w:name w:val="math Char"/>
    <w:basedOn w:val="DefaultParagraphFont"/>
    <w:link w:val="math"/>
    <w:rsid w:val="00BE109C"/>
    <w:rPr>
      <w:rFonts w:ascii="Cambria Math" w:eastAsia="Times New Roman" w:hAnsi="Cambria Math"/>
    </w:rPr>
  </w:style>
  <w:style w:type="table" w:styleId="TableGrid">
    <w:name w:val="Table Grid"/>
    <w:basedOn w:val="TableNormal"/>
    <w:rsid w:val="00F36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1742"/>
    <w:pPr>
      <w:ind w:left="720"/>
      <w:contextualSpacing/>
    </w:pPr>
  </w:style>
  <w:style w:type="paragraph" w:customStyle="1" w:styleId="Author">
    <w:name w:val="Author"/>
    <w:rsid w:val="000120DE"/>
    <w:pPr>
      <w:spacing w:before="360" w:after="40"/>
      <w:jc w:val="center"/>
    </w:pPr>
    <w:rPr>
      <w:rFonts w:eastAsia="SimSun"/>
      <w:noProof/>
      <w:sz w:val="22"/>
      <w:szCs w:val="22"/>
    </w:rPr>
  </w:style>
  <w:style w:type="character" w:styleId="CommentReference">
    <w:name w:val="annotation reference"/>
    <w:basedOn w:val="DefaultParagraphFont"/>
    <w:rsid w:val="00890CCC"/>
    <w:rPr>
      <w:sz w:val="16"/>
      <w:szCs w:val="16"/>
    </w:rPr>
  </w:style>
  <w:style w:type="paragraph" w:styleId="CommentText">
    <w:name w:val="annotation text"/>
    <w:basedOn w:val="Normal"/>
    <w:link w:val="CommentTextChar"/>
    <w:rsid w:val="00890CCC"/>
  </w:style>
  <w:style w:type="character" w:customStyle="1" w:styleId="CommentTextChar">
    <w:name w:val="Comment Text Char"/>
    <w:basedOn w:val="DefaultParagraphFont"/>
    <w:link w:val="CommentText"/>
    <w:rsid w:val="00890CCC"/>
  </w:style>
  <w:style w:type="paragraph" w:styleId="CommentSubject">
    <w:name w:val="annotation subject"/>
    <w:basedOn w:val="CommentText"/>
    <w:next w:val="CommentText"/>
    <w:link w:val="CommentSubjectChar"/>
    <w:rsid w:val="00890CCC"/>
    <w:rPr>
      <w:b/>
      <w:bCs/>
    </w:rPr>
  </w:style>
  <w:style w:type="character" w:customStyle="1" w:styleId="CommentSubjectChar">
    <w:name w:val="Comment Subject Char"/>
    <w:basedOn w:val="CommentTextChar"/>
    <w:link w:val="CommentSubject"/>
    <w:rsid w:val="00890CCC"/>
    <w:rPr>
      <w:b/>
      <w:bCs/>
    </w:rPr>
  </w:style>
  <w:style w:type="paragraph" w:styleId="BalloonText">
    <w:name w:val="Balloon Text"/>
    <w:basedOn w:val="Normal"/>
    <w:link w:val="BalloonTextChar"/>
    <w:rsid w:val="00890CCC"/>
    <w:rPr>
      <w:rFonts w:ascii="Segoe UI" w:hAnsi="Segoe UI" w:cs="Segoe UI"/>
      <w:sz w:val="18"/>
      <w:szCs w:val="18"/>
    </w:rPr>
  </w:style>
  <w:style w:type="character" w:customStyle="1" w:styleId="BalloonTextChar">
    <w:name w:val="Balloon Text Char"/>
    <w:basedOn w:val="DefaultParagraphFont"/>
    <w:link w:val="BalloonText"/>
    <w:rsid w:val="00890C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376993">
      <w:bodyDiv w:val="1"/>
      <w:marLeft w:val="0"/>
      <w:marRight w:val="0"/>
      <w:marTop w:val="0"/>
      <w:marBottom w:val="0"/>
      <w:divBdr>
        <w:top w:val="none" w:sz="0" w:space="0" w:color="auto"/>
        <w:left w:val="none" w:sz="0" w:space="0" w:color="auto"/>
        <w:bottom w:val="none" w:sz="0" w:space="0" w:color="auto"/>
        <w:right w:val="none" w:sz="0" w:space="0" w:color="auto"/>
      </w:divBdr>
    </w:div>
    <w:div w:id="15962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15888-4312-4BC7-BBC6-A8F02B2B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3769</TotalTime>
  <Pages>6</Pages>
  <Words>3083</Words>
  <Characters>19732</Characters>
  <Application>Microsoft Office Word</Application>
  <DocSecurity>0</DocSecurity>
  <Lines>636</Lines>
  <Paragraphs>288</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Engineering Letters</dc:subject>
  <dc:creator>IAENG</dc:creator>
  <cp:keywords/>
  <cp:lastModifiedBy>Lê Nguyễn Thanh Thùy</cp:lastModifiedBy>
  <cp:revision>100</cp:revision>
  <cp:lastPrinted>2025-11-11T16:26:00Z</cp:lastPrinted>
  <dcterms:created xsi:type="dcterms:W3CDTF">2025-11-04T14:54:00Z</dcterms:created>
  <dcterms:modified xsi:type="dcterms:W3CDTF">2025-11-24T14:21:00Z</dcterms:modified>
</cp:coreProperties>
</file>